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18554" w14:textId="77777777" w:rsidR="000B16E5" w:rsidRPr="005C452F" w:rsidRDefault="000B16E5" w:rsidP="000B16E5">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5C452F">
        <w:rPr>
          <w:rFonts w:asciiTheme="majorHAnsi" w:eastAsiaTheme="majorEastAsia" w:hAnsiTheme="majorHAnsi" w:cstheme="majorBidi"/>
          <w:color w:val="2F5496" w:themeColor="accent1" w:themeShade="BF"/>
          <w:sz w:val="40"/>
          <w:szCs w:val="40"/>
        </w:rPr>
        <w:t>Step overview</w:t>
      </w:r>
    </w:p>
    <w:p w14:paraId="4FC4DB5B" w14:textId="77777777" w:rsidR="000B16E5" w:rsidRPr="005C452F" w:rsidRDefault="000B16E5" w:rsidP="000B16E5">
      <w:pPr>
        <w:spacing w:after="0" w:line="240" w:lineRule="auto"/>
        <w:rPr>
          <w:sz w:val="24"/>
          <w:szCs w:val="24"/>
        </w:rPr>
      </w:pPr>
    </w:p>
    <w:tbl>
      <w:tblPr>
        <w:tblStyle w:val="GridTable1Light"/>
        <w:tblW w:w="8926" w:type="dxa"/>
        <w:tblLook w:val="0400" w:firstRow="0" w:lastRow="0" w:firstColumn="0" w:lastColumn="0" w:noHBand="0" w:noVBand="1"/>
      </w:tblPr>
      <w:tblGrid>
        <w:gridCol w:w="2122"/>
        <w:gridCol w:w="6804"/>
      </w:tblGrid>
      <w:tr w:rsidR="000B16E5" w:rsidRPr="005C452F" w14:paraId="1312A486" w14:textId="77777777">
        <w:trPr>
          <w:trHeight w:val="399"/>
        </w:trPr>
        <w:tc>
          <w:tcPr>
            <w:tcW w:w="2122" w:type="dxa"/>
            <w:shd w:val="clear" w:color="auto" w:fill="44546A" w:themeFill="text2"/>
          </w:tcPr>
          <w:p w14:paraId="4E200501" w14:textId="77777777" w:rsidR="000B16E5" w:rsidRPr="00617B34" w:rsidRDefault="000B16E5" w:rsidP="000B16E5">
            <w:pPr>
              <w:spacing w:before="120" w:after="120"/>
              <w:rPr>
                <w:rFonts w:ascii="Aptos" w:eastAsia="Times New Roman" w:hAnsi="Aptos" w:cs="Times New Roman"/>
                <w:b/>
                <w:bCs/>
                <w:color w:val="FFFFFF" w:themeColor="background1"/>
                <w:kern w:val="0"/>
                <w:sz w:val="20"/>
                <w:szCs w:val="20"/>
                <w:lang w:val="en-GB" w:eastAsia="en-GB"/>
                <w14:ligatures w14:val="none"/>
              </w:rPr>
            </w:pPr>
            <w:r w:rsidRPr="00617B34">
              <w:rPr>
                <w:rFonts w:ascii="Aptos" w:eastAsia="Times New Roman" w:hAnsi="Aptos" w:cs="Times New Roman"/>
                <w:b/>
                <w:bCs/>
                <w:color w:val="FFFFFF" w:themeColor="background1"/>
                <w:kern w:val="0"/>
                <w:sz w:val="20"/>
                <w:szCs w:val="20"/>
                <w:lang w:val="en-GB" w:eastAsia="en-GB"/>
                <w14:ligatures w14:val="none"/>
              </w:rPr>
              <w:t>Sub-area</w:t>
            </w:r>
          </w:p>
        </w:tc>
        <w:tc>
          <w:tcPr>
            <w:tcW w:w="6804" w:type="dxa"/>
            <w:shd w:val="clear" w:color="auto" w:fill="EAEDF1" w:themeFill="text2" w:themeFillTint="1A"/>
          </w:tcPr>
          <w:p w14:paraId="3D6CD420" w14:textId="77777777" w:rsidR="000B16E5" w:rsidRPr="005C452F" w:rsidRDefault="000B16E5" w:rsidP="000B16E5">
            <w:pPr>
              <w:spacing w:before="120" w:after="120"/>
              <w:rPr>
                <w:rFonts w:ascii="Aptos" w:eastAsia="Times New Roman" w:hAnsi="Aptos" w:cs="Times New Roman"/>
                <w:b/>
                <w:bCs/>
                <w:color w:val="000000"/>
                <w:kern w:val="0"/>
                <w:sz w:val="20"/>
                <w:szCs w:val="20"/>
                <w:lang w:val="en-GB" w:eastAsia="en-GB"/>
                <w14:ligatures w14:val="none"/>
              </w:rPr>
            </w:pPr>
            <w:r w:rsidRPr="005C452F">
              <w:rPr>
                <w:rFonts w:ascii="Aptos" w:eastAsia="Times New Roman" w:hAnsi="Aptos" w:cs="Times New Roman"/>
                <w:b/>
                <w:bCs/>
                <w:color w:val="000000"/>
                <w:kern w:val="0"/>
                <w:sz w:val="20"/>
                <w:szCs w:val="20"/>
                <w:lang w:val="en-GB" w:eastAsia="en-GB"/>
                <w14:ligatures w14:val="none"/>
              </w:rPr>
              <w:t>9.5: Fight against corruption</w:t>
            </w:r>
          </w:p>
        </w:tc>
      </w:tr>
      <w:tr w:rsidR="000B16E5" w:rsidRPr="005C452F" w14:paraId="3157D58B" w14:textId="77777777">
        <w:trPr>
          <w:trHeight w:val="393"/>
        </w:trPr>
        <w:tc>
          <w:tcPr>
            <w:tcW w:w="2122" w:type="dxa"/>
            <w:shd w:val="clear" w:color="auto" w:fill="44546A" w:themeFill="text2"/>
          </w:tcPr>
          <w:p w14:paraId="4D3E5470" w14:textId="77777777" w:rsidR="000B16E5" w:rsidRPr="00617B34" w:rsidRDefault="000B16E5" w:rsidP="000B16E5">
            <w:pPr>
              <w:spacing w:before="120" w:after="120"/>
              <w:rPr>
                <w:rFonts w:ascii="Aptos" w:eastAsia="Times New Roman" w:hAnsi="Aptos" w:cs="Times New Roman"/>
                <w:b/>
                <w:bCs/>
                <w:color w:val="FFFFFF" w:themeColor="background1"/>
                <w:kern w:val="0"/>
                <w:sz w:val="20"/>
                <w:szCs w:val="20"/>
                <w:lang w:val="en-GB" w:eastAsia="en-GB"/>
                <w14:ligatures w14:val="none"/>
              </w:rPr>
            </w:pPr>
            <w:r w:rsidRPr="00617B34">
              <w:rPr>
                <w:rFonts w:ascii="Aptos" w:eastAsia="Times New Roman" w:hAnsi="Aptos" w:cs="Times New Roman"/>
                <w:b/>
                <w:bCs/>
                <w:color w:val="FFFFFF" w:themeColor="background1"/>
                <w:kern w:val="0"/>
                <w:sz w:val="20"/>
                <w:szCs w:val="20"/>
                <w:lang w:val="en-GB" w:eastAsia="en-GB"/>
                <w14:ligatures w14:val="none"/>
              </w:rPr>
              <w:t>Reform</w:t>
            </w:r>
          </w:p>
        </w:tc>
        <w:tc>
          <w:tcPr>
            <w:tcW w:w="6804" w:type="dxa"/>
            <w:shd w:val="clear" w:color="auto" w:fill="EAEDF1" w:themeFill="text2" w:themeFillTint="1A"/>
          </w:tcPr>
          <w:p w14:paraId="6B3A2985" w14:textId="77777777" w:rsidR="000B16E5" w:rsidRPr="005C452F" w:rsidRDefault="000B16E5" w:rsidP="000B16E5">
            <w:pPr>
              <w:spacing w:before="120" w:after="120"/>
              <w:rPr>
                <w:rFonts w:ascii="Aptos" w:eastAsia="Times New Roman" w:hAnsi="Aptos" w:cs="Times New Roman"/>
                <w:b/>
                <w:bCs/>
                <w:color w:val="000000"/>
                <w:kern w:val="0"/>
                <w:sz w:val="20"/>
                <w:szCs w:val="20"/>
                <w:lang w:val="en-GB" w:eastAsia="en-GB"/>
                <w14:ligatures w14:val="none"/>
              </w:rPr>
            </w:pPr>
            <w:r w:rsidRPr="005C452F">
              <w:rPr>
                <w:rFonts w:ascii="Aptos" w:eastAsia="Times New Roman" w:hAnsi="Aptos" w:cs="Times New Roman"/>
                <w:b/>
                <w:bCs/>
                <w:color w:val="000000"/>
                <w:kern w:val="0"/>
                <w:sz w:val="20"/>
                <w:szCs w:val="20"/>
                <w:lang w:val="en-GB" w:eastAsia="en-GB"/>
                <w14:ligatures w14:val="none"/>
              </w:rPr>
              <w:t>9.5.1. Improved fight against and prevention of corruption</w:t>
            </w:r>
          </w:p>
        </w:tc>
      </w:tr>
      <w:tr w:rsidR="000B16E5" w:rsidRPr="005C452F" w14:paraId="23D1D8BA" w14:textId="77777777">
        <w:trPr>
          <w:trHeight w:val="393"/>
        </w:trPr>
        <w:tc>
          <w:tcPr>
            <w:tcW w:w="2122" w:type="dxa"/>
            <w:shd w:val="clear" w:color="auto" w:fill="44546A" w:themeFill="text2"/>
          </w:tcPr>
          <w:p w14:paraId="11A803A6" w14:textId="77777777" w:rsidR="000B16E5" w:rsidRPr="00617B34" w:rsidRDefault="000B16E5" w:rsidP="000B16E5">
            <w:pPr>
              <w:spacing w:before="120" w:after="120"/>
              <w:rPr>
                <w:rFonts w:ascii="Aptos" w:eastAsia="Times New Roman" w:hAnsi="Aptos" w:cs="Times New Roman"/>
                <w:b/>
                <w:bCs/>
                <w:color w:val="FFFFFF" w:themeColor="background1"/>
                <w:kern w:val="0"/>
                <w:sz w:val="20"/>
                <w:szCs w:val="20"/>
                <w:lang w:val="en-GB" w:eastAsia="en-GB"/>
                <w14:ligatures w14:val="none"/>
              </w:rPr>
            </w:pPr>
            <w:r w:rsidRPr="00617B34">
              <w:rPr>
                <w:rFonts w:ascii="Aptos" w:eastAsia="Times New Roman" w:hAnsi="Aptos" w:cs="Times New Roman"/>
                <w:b/>
                <w:bCs/>
                <w:color w:val="FFFFFF" w:themeColor="background1"/>
                <w:kern w:val="0"/>
                <w:sz w:val="20"/>
                <w:szCs w:val="20"/>
                <w:lang w:val="en-GB" w:eastAsia="en-GB"/>
                <w14:ligatures w14:val="none"/>
              </w:rPr>
              <w:t>Reporting indicator</w:t>
            </w:r>
          </w:p>
        </w:tc>
        <w:tc>
          <w:tcPr>
            <w:tcW w:w="6804" w:type="dxa"/>
            <w:shd w:val="clear" w:color="auto" w:fill="EAEDF1" w:themeFill="text2" w:themeFillTint="1A"/>
          </w:tcPr>
          <w:p w14:paraId="75A0BC16" w14:textId="77777777" w:rsidR="000B16E5" w:rsidRPr="005C452F" w:rsidRDefault="000B16E5" w:rsidP="000B16E5">
            <w:pPr>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Status of fight against and prevention of corruption related regulatory</w:t>
            </w:r>
          </w:p>
          <w:p w14:paraId="325C8E74" w14:textId="13CA1CAF" w:rsidR="000B16E5" w:rsidRPr="005C452F" w:rsidRDefault="00B57CB0" w:rsidP="000B16E5">
            <w:pPr>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F</w:t>
            </w:r>
            <w:r w:rsidR="000B16E5" w:rsidRPr="005C452F">
              <w:rPr>
                <w:rFonts w:ascii="Aptos" w:eastAsia="Times New Roman" w:hAnsi="Aptos" w:cs="Times New Roman"/>
                <w:color w:val="000000"/>
                <w:kern w:val="0"/>
                <w:sz w:val="20"/>
                <w:szCs w:val="20"/>
                <w:lang w:val="en-GB" w:eastAsia="en-GB"/>
                <w14:ligatures w14:val="none"/>
              </w:rPr>
              <w:t>ramework</w:t>
            </w:r>
          </w:p>
        </w:tc>
      </w:tr>
      <w:tr w:rsidR="000B16E5" w:rsidRPr="005C452F" w14:paraId="74079FC0" w14:textId="77777777">
        <w:trPr>
          <w:trHeight w:val="759"/>
        </w:trPr>
        <w:tc>
          <w:tcPr>
            <w:tcW w:w="2122" w:type="dxa"/>
            <w:shd w:val="clear" w:color="auto" w:fill="44546A" w:themeFill="text2"/>
          </w:tcPr>
          <w:p w14:paraId="44741037" w14:textId="77777777" w:rsidR="000B16E5" w:rsidRPr="00617B34" w:rsidRDefault="000B16E5" w:rsidP="000B16E5">
            <w:pPr>
              <w:spacing w:before="120" w:after="120"/>
              <w:rPr>
                <w:rFonts w:ascii="Aptos" w:eastAsia="Times New Roman" w:hAnsi="Aptos" w:cs="Times New Roman"/>
                <w:b/>
                <w:bCs/>
                <w:color w:val="FFFFFF" w:themeColor="background1"/>
                <w:kern w:val="0"/>
                <w:sz w:val="20"/>
                <w:szCs w:val="20"/>
                <w:lang w:val="en-GB" w:eastAsia="en-GB"/>
                <w14:ligatures w14:val="none"/>
              </w:rPr>
            </w:pPr>
            <w:r w:rsidRPr="00617B34">
              <w:rPr>
                <w:rFonts w:ascii="Aptos" w:eastAsia="Times New Roman" w:hAnsi="Aptos" w:cs="Times New Roman"/>
                <w:b/>
                <w:bCs/>
                <w:color w:val="FFFFFF" w:themeColor="background1"/>
                <w:kern w:val="0"/>
                <w:sz w:val="20"/>
                <w:szCs w:val="20"/>
                <w:lang w:val="en-GB" w:eastAsia="en-GB"/>
                <w14:ligatures w14:val="none"/>
              </w:rPr>
              <w:t>Reform Step</w:t>
            </w:r>
          </w:p>
        </w:tc>
        <w:tc>
          <w:tcPr>
            <w:tcW w:w="6804" w:type="dxa"/>
          </w:tcPr>
          <w:p w14:paraId="339EF41C" w14:textId="7FA86B58" w:rsidR="004A7397"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2. All vacant positions for prosecutors and judges in anti-corruption departments and in special prosecutor’s office for organised crime, and special department of the higher court and of the appellate court in Belgrade for organised crime are filled in accordance with the Annual Schedule of Judges (adopted by the HJC) and the Decision of the High Prosecution Council on the number of public prosecutors and trained.</w:t>
            </w:r>
          </w:p>
        </w:tc>
      </w:tr>
      <w:tr w:rsidR="000B16E5" w:rsidRPr="005C452F" w14:paraId="06A1E788" w14:textId="77777777">
        <w:trPr>
          <w:trHeight w:val="559"/>
        </w:trPr>
        <w:tc>
          <w:tcPr>
            <w:tcW w:w="2122" w:type="dxa"/>
            <w:shd w:val="clear" w:color="auto" w:fill="44546A" w:themeFill="text2"/>
          </w:tcPr>
          <w:p w14:paraId="638870D3" w14:textId="77777777" w:rsidR="000B16E5" w:rsidRPr="00617B34" w:rsidRDefault="000B16E5" w:rsidP="000B16E5">
            <w:pPr>
              <w:spacing w:before="120" w:after="120"/>
              <w:rPr>
                <w:rFonts w:ascii="Aptos" w:eastAsia="Times New Roman" w:hAnsi="Aptos" w:cs="Times New Roman"/>
                <w:color w:val="FFFFFF" w:themeColor="background1"/>
                <w:sz w:val="20"/>
                <w:szCs w:val="20"/>
                <w:lang w:val="en-GB" w:eastAsia="en-GB"/>
              </w:rPr>
            </w:pPr>
            <w:r w:rsidRPr="00617B34">
              <w:rPr>
                <w:rFonts w:ascii="Aptos" w:eastAsia="Times New Roman" w:hAnsi="Aptos" w:cs="Times New Roman"/>
                <w:b/>
                <w:bCs/>
                <w:color w:val="FFFFFF" w:themeColor="background1"/>
                <w:kern w:val="0"/>
                <w:sz w:val="20"/>
                <w:szCs w:val="20"/>
                <w:lang w:val="en-GB" w:eastAsia="en-GB"/>
                <w14:ligatures w14:val="none"/>
              </w:rPr>
              <w:t>Step deadline</w:t>
            </w:r>
          </w:p>
        </w:tc>
        <w:tc>
          <w:tcPr>
            <w:tcW w:w="6804" w:type="dxa"/>
          </w:tcPr>
          <w:p w14:paraId="045D3409" w14:textId="6BE27402"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December 2025</w:t>
            </w:r>
          </w:p>
        </w:tc>
      </w:tr>
      <w:tr w:rsidR="000B16E5" w:rsidRPr="005C452F" w14:paraId="472E9E64" w14:textId="77777777">
        <w:trPr>
          <w:trHeight w:val="553"/>
        </w:trPr>
        <w:tc>
          <w:tcPr>
            <w:tcW w:w="2122" w:type="dxa"/>
            <w:shd w:val="clear" w:color="auto" w:fill="44546A" w:themeFill="text2"/>
          </w:tcPr>
          <w:p w14:paraId="0C3C10F8" w14:textId="77777777" w:rsidR="000B16E5" w:rsidRPr="00617B34" w:rsidRDefault="000B16E5" w:rsidP="000B16E5">
            <w:pPr>
              <w:spacing w:before="120" w:after="120"/>
              <w:rPr>
                <w:rFonts w:ascii="Aptos" w:eastAsia="Times New Roman" w:hAnsi="Aptos" w:cs="Times New Roman"/>
                <w:b/>
                <w:bCs/>
                <w:color w:val="FFFFFF" w:themeColor="background1"/>
                <w:kern w:val="0"/>
                <w:sz w:val="20"/>
                <w:szCs w:val="20"/>
                <w:lang w:val="en-GB" w:eastAsia="en-GB"/>
                <w14:ligatures w14:val="none"/>
              </w:rPr>
            </w:pPr>
            <w:r w:rsidRPr="00617B34">
              <w:rPr>
                <w:rFonts w:ascii="Aptos" w:eastAsia="Times New Roman" w:hAnsi="Aptos" w:cs="Times New Roman"/>
                <w:b/>
                <w:bCs/>
                <w:color w:val="FFFFFF" w:themeColor="background1"/>
                <w:kern w:val="0"/>
                <w:sz w:val="20"/>
                <w:szCs w:val="20"/>
                <w:lang w:val="en-GB" w:eastAsia="en-GB"/>
                <w14:ligatures w14:val="none"/>
              </w:rPr>
              <w:t>Step value in EUR</w:t>
            </w:r>
          </w:p>
        </w:tc>
        <w:tc>
          <w:tcPr>
            <w:tcW w:w="6804" w:type="dxa"/>
          </w:tcPr>
          <w:p w14:paraId="7763B549" w14:textId="0517E11B"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13.587.623,37</w:t>
            </w:r>
          </w:p>
        </w:tc>
      </w:tr>
      <w:tr w:rsidR="000B16E5" w:rsidRPr="005C452F" w14:paraId="77C7D1CA" w14:textId="77777777">
        <w:trPr>
          <w:trHeight w:val="535"/>
        </w:trPr>
        <w:tc>
          <w:tcPr>
            <w:tcW w:w="2122" w:type="dxa"/>
            <w:shd w:val="clear" w:color="auto" w:fill="44546A" w:themeFill="text2"/>
          </w:tcPr>
          <w:p w14:paraId="627F3951" w14:textId="77777777" w:rsidR="000B16E5" w:rsidRPr="00617B34" w:rsidRDefault="000B16E5" w:rsidP="000B16E5">
            <w:pPr>
              <w:spacing w:before="120" w:after="120"/>
              <w:rPr>
                <w:rFonts w:ascii="Aptos" w:eastAsia="Times New Roman" w:hAnsi="Aptos" w:cs="Times New Roman"/>
                <w:b/>
                <w:bCs/>
                <w:color w:val="FFFFFF" w:themeColor="background1"/>
                <w:kern w:val="0"/>
                <w:sz w:val="20"/>
                <w:szCs w:val="20"/>
                <w:lang w:val="en-GB" w:eastAsia="en-GB"/>
                <w14:ligatures w14:val="none"/>
              </w:rPr>
            </w:pPr>
            <w:r w:rsidRPr="00617B34">
              <w:rPr>
                <w:rFonts w:ascii="Aptos" w:eastAsia="Times New Roman" w:hAnsi="Aptos" w:cs="Times New Roman"/>
                <w:b/>
                <w:bCs/>
                <w:color w:val="FFFFFF" w:themeColor="background1"/>
                <w:kern w:val="0"/>
                <w:sz w:val="20"/>
                <w:szCs w:val="20"/>
                <w:lang w:val="en-GB" w:eastAsia="en-GB"/>
                <w14:ligatures w14:val="none"/>
              </w:rPr>
              <w:t>Responsible</w:t>
            </w:r>
          </w:p>
        </w:tc>
        <w:tc>
          <w:tcPr>
            <w:tcW w:w="6804" w:type="dxa"/>
          </w:tcPr>
          <w:p w14:paraId="45C6D435" w14:textId="36D00792"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HPC, HJC</w:t>
            </w:r>
          </w:p>
        </w:tc>
      </w:tr>
      <w:tr w:rsidR="000B16E5" w:rsidRPr="005C452F" w14:paraId="0E680E1D" w14:textId="77777777">
        <w:trPr>
          <w:trHeight w:val="583"/>
        </w:trPr>
        <w:tc>
          <w:tcPr>
            <w:tcW w:w="2122" w:type="dxa"/>
            <w:shd w:val="clear" w:color="auto" w:fill="44546A" w:themeFill="text2"/>
          </w:tcPr>
          <w:p w14:paraId="47C818BC" w14:textId="77777777" w:rsidR="000B16E5" w:rsidRPr="00617B34" w:rsidRDefault="000B16E5" w:rsidP="000B16E5">
            <w:pPr>
              <w:spacing w:before="120" w:after="120"/>
              <w:rPr>
                <w:rFonts w:ascii="Aptos" w:eastAsia="Times New Roman" w:hAnsi="Aptos" w:cs="Times New Roman"/>
                <w:color w:val="FFFFFF" w:themeColor="background1"/>
                <w:sz w:val="20"/>
                <w:szCs w:val="20"/>
                <w:lang w:val="en-GB" w:eastAsia="en-GB"/>
              </w:rPr>
            </w:pPr>
            <w:r w:rsidRPr="00617B34">
              <w:rPr>
                <w:rFonts w:ascii="Aptos" w:eastAsia="Times New Roman" w:hAnsi="Aptos" w:cs="Times New Roman"/>
                <w:b/>
                <w:bCs/>
                <w:color w:val="FFFFFF" w:themeColor="background1"/>
                <w:kern w:val="0"/>
                <w:sz w:val="20"/>
                <w:szCs w:val="20"/>
                <w:lang w:val="en-GB" w:eastAsia="en-GB"/>
                <w14:ligatures w14:val="none"/>
              </w:rPr>
              <w:t>Baseline</w:t>
            </w:r>
          </w:p>
        </w:tc>
        <w:tc>
          <w:tcPr>
            <w:tcW w:w="6804" w:type="dxa"/>
          </w:tcPr>
          <w:p w14:paraId="3E367135"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No. of employees in special departments for Suppression of Corruption within the High Prosecution Offices</w:t>
            </w:r>
          </w:p>
          <w:p w14:paraId="49A1D2B3"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Beograd – 9,</w:t>
            </w:r>
          </w:p>
          <w:p w14:paraId="601CEBB3"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Novi Sad – 12,</w:t>
            </w:r>
          </w:p>
          <w:p w14:paraId="508B2797"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proofErr w:type="spellStart"/>
            <w:r w:rsidRPr="005C452F">
              <w:rPr>
                <w:rFonts w:ascii="Aptos" w:eastAsia="Times New Roman" w:hAnsi="Aptos" w:cs="Times New Roman"/>
                <w:color w:val="000000"/>
                <w:kern w:val="0"/>
                <w:sz w:val="20"/>
                <w:szCs w:val="20"/>
                <w:lang w:val="en-GB" w:eastAsia="en-GB"/>
                <w14:ligatures w14:val="none"/>
              </w:rPr>
              <w:t>Niš</w:t>
            </w:r>
            <w:proofErr w:type="spellEnd"/>
            <w:r w:rsidRPr="005C452F">
              <w:rPr>
                <w:rFonts w:ascii="Aptos" w:eastAsia="Times New Roman" w:hAnsi="Aptos" w:cs="Times New Roman"/>
                <w:color w:val="000000"/>
                <w:kern w:val="0"/>
                <w:sz w:val="20"/>
                <w:szCs w:val="20"/>
                <w:lang w:val="en-GB" w:eastAsia="en-GB"/>
                <w14:ligatures w14:val="none"/>
              </w:rPr>
              <w:t xml:space="preserve"> – 9,</w:t>
            </w:r>
          </w:p>
          <w:p w14:paraId="057AA579"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proofErr w:type="spellStart"/>
            <w:r w:rsidRPr="005C452F">
              <w:rPr>
                <w:rFonts w:ascii="Aptos" w:eastAsia="Times New Roman" w:hAnsi="Aptos" w:cs="Times New Roman"/>
                <w:color w:val="000000"/>
                <w:kern w:val="0"/>
                <w:sz w:val="20"/>
                <w:szCs w:val="20"/>
                <w:lang w:val="en-GB" w:eastAsia="en-GB"/>
                <w14:ligatures w14:val="none"/>
              </w:rPr>
              <w:t>Kraljevo</w:t>
            </w:r>
            <w:proofErr w:type="spellEnd"/>
            <w:r w:rsidRPr="005C452F">
              <w:rPr>
                <w:rFonts w:ascii="Aptos" w:eastAsia="Times New Roman" w:hAnsi="Aptos" w:cs="Times New Roman"/>
                <w:color w:val="000000"/>
                <w:kern w:val="0"/>
                <w:sz w:val="20"/>
                <w:szCs w:val="20"/>
                <w:lang w:val="en-GB" w:eastAsia="en-GB"/>
                <w14:ligatures w14:val="none"/>
              </w:rPr>
              <w:t xml:space="preserve"> – 6.</w:t>
            </w:r>
          </w:p>
          <w:p w14:paraId="4D2ACFB9"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No of employees in special departments for Suppression of Corruption in the High Courts</w:t>
            </w:r>
          </w:p>
          <w:p w14:paraId="7E6FD1F5"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Beograd – 4,</w:t>
            </w:r>
          </w:p>
          <w:p w14:paraId="22D69778"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Novi Sad – 6,</w:t>
            </w:r>
          </w:p>
          <w:p w14:paraId="1D7DACFD"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proofErr w:type="spellStart"/>
            <w:r w:rsidRPr="005C452F">
              <w:rPr>
                <w:rFonts w:ascii="Aptos" w:eastAsia="Times New Roman" w:hAnsi="Aptos" w:cs="Times New Roman"/>
                <w:color w:val="000000"/>
                <w:kern w:val="0"/>
                <w:sz w:val="20"/>
                <w:szCs w:val="20"/>
                <w:lang w:val="en-GB" w:eastAsia="en-GB"/>
                <w14:ligatures w14:val="none"/>
              </w:rPr>
              <w:t>Niš</w:t>
            </w:r>
            <w:proofErr w:type="spellEnd"/>
            <w:r w:rsidRPr="005C452F">
              <w:rPr>
                <w:rFonts w:ascii="Aptos" w:eastAsia="Times New Roman" w:hAnsi="Aptos" w:cs="Times New Roman"/>
                <w:color w:val="000000"/>
                <w:kern w:val="0"/>
                <w:sz w:val="20"/>
                <w:szCs w:val="20"/>
                <w:lang w:val="en-GB" w:eastAsia="en-GB"/>
                <w14:ligatures w14:val="none"/>
              </w:rPr>
              <w:t xml:space="preserve"> – 5,</w:t>
            </w:r>
          </w:p>
          <w:p w14:paraId="796229F1"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proofErr w:type="spellStart"/>
            <w:r w:rsidRPr="005C452F">
              <w:rPr>
                <w:rFonts w:ascii="Aptos" w:eastAsia="Times New Roman" w:hAnsi="Aptos" w:cs="Times New Roman"/>
                <w:color w:val="000000"/>
                <w:kern w:val="0"/>
                <w:sz w:val="20"/>
                <w:szCs w:val="20"/>
                <w:lang w:val="en-GB" w:eastAsia="en-GB"/>
                <w14:ligatures w14:val="none"/>
              </w:rPr>
              <w:t>Kraljevo</w:t>
            </w:r>
            <w:proofErr w:type="spellEnd"/>
            <w:r w:rsidRPr="005C452F">
              <w:rPr>
                <w:rFonts w:ascii="Aptos" w:eastAsia="Times New Roman" w:hAnsi="Aptos" w:cs="Times New Roman"/>
                <w:color w:val="000000"/>
                <w:kern w:val="0"/>
                <w:sz w:val="20"/>
                <w:szCs w:val="20"/>
                <w:lang w:val="en-GB" w:eastAsia="en-GB"/>
                <w14:ligatures w14:val="none"/>
              </w:rPr>
              <w:t xml:space="preserve"> – 6.</w:t>
            </w:r>
          </w:p>
          <w:p w14:paraId="45F0000E" w14:textId="56E33AC8"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Prosecutors Office for Organised Crime has 22 public prosecutors.</w:t>
            </w:r>
          </w:p>
          <w:p w14:paraId="6269C2EE" w14:textId="233EFC85"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Special Department of the Appellate Court in Belgrade has 11 judges.</w:t>
            </w:r>
          </w:p>
        </w:tc>
      </w:tr>
      <w:tr w:rsidR="000B16E5" w:rsidRPr="005C452F" w14:paraId="4A3E75E3" w14:textId="77777777">
        <w:trPr>
          <w:trHeight w:val="577"/>
        </w:trPr>
        <w:tc>
          <w:tcPr>
            <w:tcW w:w="2122" w:type="dxa"/>
            <w:shd w:val="clear" w:color="auto" w:fill="44546A" w:themeFill="text2"/>
          </w:tcPr>
          <w:p w14:paraId="48F2265B" w14:textId="77777777" w:rsidR="000B16E5" w:rsidRPr="005C452F" w:rsidRDefault="000B16E5" w:rsidP="000B16E5">
            <w:pPr>
              <w:spacing w:before="120" w:after="120"/>
              <w:rPr>
                <w:rFonts w:ascii="Aptos" w:eastAsia="Times New Roman" w:hAnsi="Aptos" w:cs="Times New Roman"/>
                <w:b/>
                <w:bCs/>
                <w:color w:val="000000"/>
                <w:kern w:val="0"/>
                <w:sz w:val="20"/>
                <w:szCs w:val="20"/>
                <w:lang w:val="en-GB" w:eastAsia="en-GB"/>
                <w14:ligatures w14:val="none"/>
              </w:rPr>
            </w:pPr>
            <w:r w:rsidRPr="005C452F">
              <w:rPr>
                <w:rFonts w:ascii="Aptos" w:eastAsia="Times New Roman" w:hAnsi="Aptos" w:cs="Times New Roman"/>
                <w:b/>
                <w:bCs/>
                <w:kern w:val="0"/>
                <w:sz w:val="20"/>
                <w:szCs w:val="20"/>
                <w:lang w:val="en-GB" w:eastAsia="en-GB"/>
                <w14:ligatures w14:val="none"/>
              </w:rPr>
              <w:t>Sources of verification</w:t>
            </w:r>
          </w:p>
        </w:tc>
        <w:tc>
          <w:tcPr>
            <w:tcW w:w="6804" w:type="dxa"/>
          </w:tcPr>
          <w:p w14:paraId="1F006299" w14:textId="77777777"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Annual report of HPC</w:t>
            </w:r>
          </w:p>
          <w:p w14:paraId="0CB65744" w14:textId="6CD33942" w:rsidR="000B16E5" w:rsidRPr="005C452F" w:rsidRDefault="000B16E5" w:rsidP="000B16E5">
            <w:pPr>
              <w:spacing w:before="120" w:after="120"/>
              <w:rPr>
                <w:rFonts w:ascii="Aptos" w:eastAsia="Times New Roman" w:hAnsi="Aptos" w:cs="Times New Roman"/>
                <w:color w:val="000000"/>
                <w:kern w:val="0"/>
                <w:sz w:val="20"/>
                <w:szCs w:val="20"/>
                <w:lang w:val="en-GB" w:eastAsia="en-GB"/>
                <w14:ligatures w14:val="none"/>
              </w:rPr>
            </w:pPr>
            <w:r w:rsidRPr="005C452F">
              <w:rPr>
                <w:rFonts w:ascii="Aptos" w:eastAsia="Times New Roman" w:hAnsi="Aptos" w:cs="Times New Roman"/>
                <w:color w:val="000000"/>
                <w:kern w:val="0"/>
                <w:sz w:val="20"/>
                <w:szCs w:val="20"/>
                <w:lang w:val="en-GB" w:eastAsia="en-GB"/>
                <w14:ligatures w14:val="none"/>
              </w:rPr>
              <w:t>Annual report of HJC</w:t>
            </w:r>
          </w:p>
        </w:tc>
      </w:tr>
    </w:tbl>
    <w:p w14:paraId="593D696B" w14:textId="77777777" w:rsidR="000B16E5" w:rsidRPr="005C452F" w:rsidRDefault="000B16E5" w:rsidP="000B16E5">
      <w:pPr>
        <w:spacing w:after="0" w:line="240" w:lineRule="auto"/>
        <w:rPr>
          <w:sz w:val="24"/>
          <w:szCs w:val="24"/>
        </w:rPr>
      </w:pPr>
    </w:p>
    <w:p w14:paraId="2402138D" w14:textId="77777777" w:rsidR="000B16E5" w:rsidRPr="005C452F" w:rsidRDefault="000B16E5" w:rsidP="000B16E5">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5C452F">
        <w:rPr>
          <w:rFonts w:asciiTheme="majorHAnsi" w:eastAsiaTheme="majorEastAsia" w:hAnsiTheme="majorHAnsi" w:cstheme="majorBidi"/>
          <w:color w:val="2F5496" w:themeColor="accent1" w:themeShade="BF"/>
          <w:sz w:val="40"/>
          <w:szCs w:val="40"/>
        </w:rPr>
        <w:t>Analysis</w:t>
      </w:r>
    </w:p>
    <w:p w14:paraId="7EB4CE5A" w14:textId="77777777" w:rsidR="000B16E5" w:rsidRPr="005C452F" w:rsidRDefault="000B16E5" w:rsidP="000B16E5">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0B16E5" w:rsidRPr="005C452F" w14:paraId="1E0017C9"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795D537E" w14:textId="77777777" w:rsidR="000B16E5" w:rsidRPr="00617B34" w:rsidRDefault="000B16E5" w:rsidP="000B16E5">
            <w:pPr>
              <w:spacing w:before="120" w:after="120"/>
              <w:rPr>
                <w:rFonts w:ascii="Aptos" w:eastAsia="Times New Roman" w:hAnsi="Aptos" w:cs="Times New Roman"/>
                <w:color w:val="FFFFFF" w:themeColor="background1"/>
                <w:kern w:val="0"/>
                <w:sz w:val="20"/>
                <w:szCs w:val="20"/>
                <w:lang w:val="en-GB" w:eastAsia="en-GB"/>
                <w14:ligatures w14:val="none"/>
              </w:rPr>
            </w:pPr>
            <w:r w:rsidRPr="00617B34">
              <w:rPr>
                <w:rFonts w:ascii="Aptos" w:eastAsia="Times New Roman" w:hAnsi="Aptos" w:cs="Times New Roman"/>
                <w:color w:val="FFFFFF" w:themeColor="background1"/>
                <w:kern w:val="0"/>
                <w:sz w:val="20"/>
                <w:szCs w:val="20"/>
                <w:lang w:val="en-GB" w:eastAsia="en-GB"/>
                <w14:ligatures w14:val="none"/>
              </w:rPr>
              <w:lastRenderedPageBreak/>
              <w:t>Define step milestones</w:t>
            </w:r>
          </w:p>
        </w:tc>
        <w:tc>
          <w:tcPr>
            <w:tcW w:w="6753" w:type="dxa"/>
          </w:tcPr>
          <w:p w14:paraId="0C591245"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C452F">
              <w:rPr>
                <w:i/>
                <w:iCs/>
                <w:sz w:val="20"/>
                <w:szCs w:val="20"/>
                <w:lang w:val="en-GB"/>
              </w:rPr>
              <w:t>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take into account applicable legal requirements (e.g. Law on the Planning System, Government Rules of Procedure, etc.).</w:t>
            </w:r>
          </w:p>
          <w:p w14:paraId="602523A8" w14:textId="77777777" w:rsidR="00E25A3C" w:rsidRPr="005C452F" w:rsidRDefault="00E25A3C" w:rsidP="00E25A3C">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p w14:paraId="797C4DB7" w14:textId="77777777" w:rsidR="00E25A3C" w:rsidRPr="00E25A3C" w:rsidRDefault="00E25A3C" w:rsidP="00E25A3C">
            <w:pPr>
              <w:numPr>
                <w:ilvl w:val="0"/>
                <w:numId w:val="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imes New Roman" w:cstheme="minorHAnsi"/>
                <w:kern w:val="0"/>
                <w:sz w:val="20"/>
                <w:szCs w:val="20"/>
                <w:lang w:val="en-GB" w:eastAsia="sr-Latn-RS"/>
                <w14:ligatures w14:val="none"/>
              </w:rPr>
            </w:pPr>
            <w:r w:rsidRPr="00E25A3C">
              <w:rPr>
                <w:rFonts w:eastAsia="Times New Roman" w:cstheme="minorHAnsi"/>
                <w:kern w:val="0"/>
                <w:sz w:val="20"/>
                <w:szCs w:val="20"/>
                <w:lang w:val="en-GB" w:eastAsia="sr-Latn-RS"/>
                <w14:ligatures w14:val="none"/>
              </w:rPr>
              <w:t xml:space="preserve">The Annual Schedule of Judges, adopted by the High Judicial Council (HJC), provides for the same or an increased number of judges. </w:t>
            </w:r>
          </w:p>
          <w:p w14:paraId="30BE5D24" w14:textId="77777777" w:rsidR="00E25A3C" w:rsidRPr="00E25A3C" w:rsidRDefault="00E25A3C" w:rsidP="00E25A3C">
            <w:pPr>
              <w:numPr>
                <w:ilvl w:val="0"/>
                <w:numId w:val="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imes New Roman" w:cstheme="minorHAnsi"/>
                <w:kern w:val="0"/>
                <w:sz w:val="20"/>
                <w:szCs w:val="20"/>
                <w:lang w:val="en-GB" w:eastAsia="sr-Latn-RS"/>
                <w14:ligatures w14:val="none"/>
              </w:rPr>
            </w:pPr>
            <w:r w:rsidRPr="00E25A3C">
              <w:rPr>
                <w:rFonts w:eastAsia="Times New Roman" w:cstheme="minorHAnsi"/>
                <w:kern w:val="0"/>
                <w:sz w:val="20"/>
                <w:szCs w:val="20"/>
                <w:lang w:val="en-GB" w:eastAsia="sr-Latn-RS"/>
                <w14:ligatures w14:val="none"/>
              </w:rPr>
              <w:t xml:space="preserve">The decision of the High Prosecutorial Council (HPC) on the number of public prosecutors provides for the same or an increased number of prosecutors. </w:t>
            </w:r>
          </w:p>
          <w:p w14:paraId="12080B11" w14:textId="77777777" w:rsidR="00E25A3C" w:rsidRPr="00E25A3C" w:rsidRDefault="00E25A3C" w:rsidP="00E25A3C">
            <w:pPr>
              <w:numPr>
                <w:ilvl w:val="0"/>
                <w:numId w:val="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imes New Roman" w:cstheme="minorHAnsi"/>
                <w:kern w:val="0"/>
                <w:sz w:val="20"/>
                <w:szCs w:val="20"/>
                <w:lang w:val="en-GB" w:eastAsia="sr-Latn-RS"/>
                <w14:ligatures w14:val="none"/>
              </w:rPr>
            </w:pPr>
            <w:r w:rsidRPr="00E25A3C">
              <w:rPr>
                <w:rFonts w:eastAsia="Times New Roman" w:cstheme="minorHAnsi"/>
                <w:kern w:val="0"/>
                <w:sz w:val="20"/>
                <w:szCs w:val="20"/>
                <w:lang w:val="en-GB" w:eastAsia="sr-Latn-RS"/>
                <w14:ligatures w14:val="none"/>
              </w:rPr>
              <w:t xml:space="preserve">Public calls have been issued for all vacant posts in Public Prosecutor’s Office (PPO) units. </w:t>
            </w:r>
          </w:p>
          <w:p w14:paraId="599D4E9C" w14:textId="77777777" w:rsidR="00E25A3C" w:rsidRPr="00E25A3C" w:rsidRDefault="00E25A3C" w:rsidP="00E25A3C">
            <w:pPr>
              <w:numPr>
                <w:ilvl w:val="0"/>
                <w:numId w:val="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imes New Roman" w:cstheme="minorHAnsi"/>
                <w:kern w:val="0"/>
                <w:sz w:val="20"/>
                <w:szCs w:val="20"/>
                <w:lang w:val="en-GB" w:eastAsia="sr-Latn-RS"/>
                <w14:ligatures w14:val="none"/>
              </w:rPr>
            </w:pPr>
            <w:r w:rsidRPr="00E25A3C">
              <w:rPr>
                <w:rFonts w:eastAsia="Times New Roman" w:cstheme="minorHAnsi"/>
                <w:kern w:val="0"/>
                <w:sz w:val="20"/>
                <w:szCs w:val="20"/>
                <w:lang w:val="en-GB" w:eastAsia="sr-Latn-RS"/>
                <w14:ligatures w14:val="none"/>
              </w:rPr>
              <w:t xml:space="preserve">The High Prosecutorial Council adopts decisions in a timely manner for all vacant posts in PPO units. </w:t>
            </w:r>
          </w:p>
          <w:p w14:paraId="02DDA2CC" w14:textId="77777777" w:rsidR="00E25A3C" w:rsidRPr="00E25A3C" w:rsidRDefault="00E25A3C" w:rsidP="00E25A3C">
            <w:pPr>
              <w:numPr>
                <w:ilvl w:val="0"/>
                <w:numId w:val="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imes New Roman" w:cstheme="minorHAnsi"/>
                <w:kern w:val="0"/>
                <w:sz w:val="20"/>
                <w:szCs w:val="20"/>
                <w:lang w:val="en-GB" w:eastAsia="sr-Latn-RS"/>
                <w14:ligatures w14:val="none"/>
              </w:rPr>
            </w:pPr>
            <w:r w:rsidRPr="00E25A3C">
              <w:rPr>
                <w:rFonts w:eastAsia="Times New Roman" w:cstheme="minorHAnsi"/>
                <w:kern w:val="0"/>
                <w:sz w:val="20"/>
                <w:szCs w:val="20"/>
                <w:lang w:val="en-GB" w:eastAsia="sr-Latn-RS"/>
                <w14:ligatures w14:val="none"/>
              </w:rPr>
              <w:t xml:space="preserve">Pending decisions of the High Prosecutorial Council, all vacant posts in Prosecutor’s Offices for Organised Crime (POC) are continuously filled through temporary transfers from other PPOs. </w:t>
            </w:r>
          </w:p>
          <w:p w14:paraId="51FE25E1" w14:textId="538B2293" w:rsidR="000B16E5" w:rsidRPr="005C452F" w:rsidRDefault="00E25A3C" w:rsidP="00E25A3C">
            <w:pPr>
              <w:numPr>
                <w:ilvl w:val="0"/>
                <w:numId w:val="2"/>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sz w:val="20"/>
                <w:szCs w:val="20"/>
                <w:lang w:val="en-GB"/>
              </w:rPr>
            </w:pPr>
            <w:r w:rsidRPr="00E25A3C">
              <w:rPr>
                <w:rFonts w:eastAsia="Times New Roman" w:cstheme="minorHAnsi"/>
                <w:kern w:val="0"/>
                <w:sz w:val="20"/>
                <w:szCs w:val="20"/>
                <w:lang w:val="en-GB" w:eastAsia="sr-Latn-RS"/>
                <w14:ligatures w14:val="none"/>
              </w:rPr>
              <w:t xml:space="preserve">All judges and prosecutors have completed the training necessary for work in anti-corruption units. </w:t>
            </w:r>
          </w:p>
        </w:tc>
      </w:tr>
      <w:tr w:rsidR="000B16E5" w:rsidRPr="005C452F" w14:paraId="019714B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049D34D8" w14:textId="77777777" w:rsidR="000B16E5" w:rsidRPr="00617B34" w:rsidRDefault="000B16E5" w:rsidP="000B16E5">
            <w:pPr>
              <w:spacing w:before="120" w:after="120"/>
              <w:rPr>
                <w:rFonts w:ascii="Aptos" w:eastAsia="Times New Roman" w:hAnsi="Aptos" w:cs="Times New Roman"/>
                <w:color w:val="FFFFFF" w:themeColor="background1"/>
                <w:kern w:val="0"/>
                <w:sz w:val="20"/>
                <w:szCs w:val="20"/>
                <w:lang w:val="en-GB" w:eastAsia="en-GB"/>
                <w14:ligatures w14:val="none"/>
              </w:rPr>
            </w:pPr>
            <w:r w:rsidRPr="00617B34">
              <w:rPr>
                <w:rFonts w:ascii="Aptos" w:eastAsia="Times New Roman" w:hAnsi="Aptos" w:cs="Times New Roman"/>
                <w:color w:val="FFFFFF" w:themeColor="background1"/>
                <w:kern w:val="0"/>
                <w:sz w:val="20"/>
                <w:szCs w:val="20"/>
                <w:lang w:val="en-GB" w:eastAsia="en-GB"/>
                <w14:ligatures w14:val="none"/>
              </w:rPr>
              <w:t>Analyse achievement of each milestone</w:t>
            </w:r>
          </w:p>
        </w:tc>
        <w:tc>
          <w:tcPr>
            <w:tcW w:w="6753" w:type="dxa"/>
          </w:tcPr>
          <w:p w14:paraId="1E00E623"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C452F">
              <w:rPr>
                <w:i/>
                <w:iCs/>
                <w:sz w:val="20"/>
                <w:szCs w:val="20"/>
                <w:lang w:val="en-GB"/>
              </w:rPr>
              <w:t>For each identified milestone, provide a succinct analysis of its implementation process. Use numbered points corresponding to the defined milestones above. Please provide references wherever possible.</w:t>
            </w:r>
          </w:p>
          <w:p w14:paraId="535680AD" w14:textId="161D18F5" w:rsidR="00D66A5C" w:rsidRPr="005C452F" w:rsidRDefault="00D66A5C" w:rsidP="00D66A5C">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D66A5C">
              <w:rPr>
                <w:sz w:val="20"/>
                <w:szCs w:val="20"/>
                <w:lang w:val="en-GB"/>
              </w:rPr>
              <w:t>Although the Reform Agenda step seeks to ensure an adequate number of judges in anti-corruption departments through the “Annual Schedule of Judges, adopted by the High Judicial Council (HJC)”, this is contrary to the powers of that body. Specifically, the Annual Schedule of Judges is adopted by each court president. In these terms, the Reform Agenda step, as currently defined, cannot formally be achieved unless the relevant legislation (notably the Law on the Organisation of Courts) is amended in advance.</w:t>
            </w:r>
            <w:r w:rsidRPr="005C452F">
              <w:rPr>
                <w:sz w:val="20"/>
                <w:szCs w:val="20"/>
                <w:lang w:val="en-GB"/>
              </w:rPr>
              <w:t xml:space="preserve"> </w:t>
            </w:r>
            <w:r w:rsidRPr="00D66A5C">
              <w:rPr>
                <w:sz w:val="20"/>
                <w:szCs w:val="20"/>
                <w:lang w:val="en-GB"/>
              </w:rPr>
              <w:t>As regards the substantive situation, it is as follows:</w:t>
            </w:r>
          </w:p>
          <w:p w14:paraId="10AC6260" w14:textId="77777777" w:rsidR="00D66A5C" w:rsidRPr="005C452F" w:rsidRDefault="00D66A5C" w:rsidP="00D66A5C">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p w14:paraId="1AC1844F" w14:textId="03629D20" w:rsidR="003317EB" w:rsidRPr="005C452F" w:rsidRDefault="006F46FD" w:rsidP="003317EB">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6F46FD">
              <w:rPr>
                <w:sz w:val="20"/>
                <w:szCs w:val="20"/>
                <w:lang w:val="en-GB"/>
              </w:rPr>
              <w:t>The President of the Belgrade Appellate Court adopted the Annual Schedule of Judges for 2026 on 6 November 2025</w:t>
            </w:r>
            <w:r w:rsidRPr="005C452F">
              <w:rPr>
                <w:rStyle w:val="FootnoteReference"/>
                <w:sz w:val="20"/>
                <w:szCs w:val="20"/>
                <w:lang w:val="en-GB"/>
              </w:rPr>
              <w:footnoteReference w:id="1"/>
            </w:r>
            <w:r w:rsidRPr="006F46FD">
              <w:rPr>
                <w:sz w:val="20"/>
                <w:szCs w:val="20"/>
                <w:lang w:val="en-GB"/>
              </w:rPr>
              <w:t xml:space="preserve">, with subsequent amendments on 30 December 2025. In the two </w:t>
            </w:r>
            <w:r w:rsidRPr="005C452F">
              <w:rPr>
                <w:sz w:val="20"/>
                <w:szCs w:val="20"/>
                <w:lang w:val="en-GB"/>
              </w:rPr>
              <w:t xml:space="preserve">court </w:t>
            </w:r>
            <w:r w:rsidRPr="006F46FD">
              <w:rPr>
                <w:sz w:val="20"/>
                <w:szCs w:val="20"/>
                <w:lang w:val="en-GB"/>
              </w:rPr>
              <w:t>councils responsible for appeals in cases of organised crime, the court president scheduled a total of 12 judges (baseline: 11).</w:t>
            </w:r>
            <w:r w:rsidR="003317EB" w:rsidRPr="005C452F">
              <w:rPr>
                <w:sz w:val="20"/>
                <w:szCs w:val="20"/>
                <w:lang w:val="en-GB"/>
              </w:rPr>
              <w:t xml:space="preserve"> </w:t>
            </w:r>
            <w:r w:rsidRPr="006F46FD">
              <w:rPr>
                <w:sz w:val="20"/>
                <w:szCs w:val="20"/>
                <w:lang w:val="en-GB"/>
              </w:rPr>
              <w:t>In the Annual Schedule for 2025, adopted on 31 October 2024, the number of judges was the same as the baseline (11)</w:t>
            </w:r>
            <w:r w:rsidR="003317EB" w:rsidRPr="005C452F">
              <w:rPr>
                <w:rStyle w:val="FootnoteReference"/>
                <w:sz w:val="20"/>
                <w:szCs w:val="20"/>
                <w:lang w:val="en-GB"/>
              </w:rPr>
              <w:t xml:space="preserve"> </w:t>
            </w:r>
            <w:r w:rsidR="003317EB" w:rsidRPr="005C452F">
              <w:rPr>
                <w:rStyle w:val="FootnoteReference"/>
                <w:sz w:val="20"/>
                <w:szCs w:val="20"/>
                <w:lang w:val="en-GB"/>
              </w:rPr>
              <w:footnoteReference w:id="2"/>
            </w:r>
            <w:r w:rsidRPr="006F46FD">
              <w:rPr>
                <w:sz w:val="20"/>
                <w:szCs w:val="20"/>
                <w:lang w:val="en-GB"/>
              </w:rPr>
              <w:t>. Amendments to the Schedule, made on 25 June 2025, established the current number of judges.</w:t>
            </w:r>
            <w:r w:rsidRPr="005C452F">
              <w:rPr>
                <w:rStyle w:val="FootnoteReference"/>
                <w:sz w:val="20"/>
                <w:szCs w:val="20"/>
                <w:lang w:val="en-GB"/>
              </w:rPr>
              <w:footnoteReference w:id="3"/>
            </w:r>
            <w:r w:rsidR="003317EB" w:rsidRPr="005C452F">
              <w:rPr>
                <w:sz w:val="20"/>
                <w:szCs w:val="20"/>
                <w:lang w:val="en-GB"/>
              </w:rPr>
              <w:t xml:space="preserve"> The Higher Court of Belgrade’s Annual Schedule envisages no changes compared with the </w:t>
            </w:r>
            <w:r w:rsidR="003317EB" w:rsidRPr="005C452F">
              <w:rPr>
                <w:sz w:val="20"/>
                <w:szCs w:val="20"/>
                <w:lang w:val="en-GB"/>
              </w:rPr>
              <w:lastRenderedPageBreak/>
              <w:t>baseline, as reflected in the decision of 31 October 2025 for the year 2026 (4 judges).</w:t>
            </w:r>
            <w:r w:rsidR="003317EB" w:rsidRPr="005C452F">
              <w:rPr>
                <w:rStyle w:val="FootnoteReference"/>
                <w:sz w:val="20"/>
                <w:szCs w:val="20"/>
                <w:lang w:val="en-GB"/>
              </w:rPr>
              <w:footnoteReference w:id="4"/>
            </w:r>
          </w:p>
          <w:p w14:paraId="31FF027B" w14:textId="2503F8E0" w:rsidR="003317EB" w:rsidRPr="005C452F" w:rsidRDefault="00FE32AE" w:rsidP="00FE32AE">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The Higher Court of Novi Sad, in its Annual Schedule for 2026, envisages five judges in the units responsible for anti-corruption, which is fewer than the baseline of six.</w:t>
            </w:r>
            <w:r w:rsidR="003317EB" w:rsidRPr="005C452F">
              <w:rPr>
                <w:rStyle w:val="FootnoteReference"/>
                <w:sz w:val="20"/>
                <w:szCs w:val="20"/>
                <w:lang w:val="en-GB"/>
              </w:rPr>
              <w:footnoteReference w:id="5"/>
            </w:r>
          </w:p>
          <w:p w14:paraId="62AE01CF" w14:textId="7E58E929" w:rsidR="00FE32AE" w:rsidRPr="005C452F" w:rsidRDefault="00FE32AE" w:rsidP="00FE32AE">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 xml:space="preserve">The Higher Court of </w:t>
            </w:r>
            <w:proofErr w:type="spellStart"/>
            <w:r w:rsidRPr="005C452F">
              <w:rPr>
                <w:sz w:val="20"/>
                <w:szCs w:val="20"/>
                <w:lang w:val="en-GB"/>
              </w:rPr>
              <w:t>Niš</w:t>
            </w:r>
            <w:proofErr w:type="spellEnd"/>
            <w:r w:rsidRPr="005C452F">
              <w:rPr>
                <w:sz w:val="20"/>
                <w:szCs w:val="20"/>
                <w:lang w:val="en-GB"/>
              </w:rPr>
              <w:t xml:space="preserve">, in its Annual Schedule for 2026, adopted on </w:t>
            </w:r>
            <w:r w:rsidRPr="005C452F">
              <w:rPr>
                <w:b/>
                <w:bCs/>
                <w:sz w:val="20"/>
                <w:szCs w:val="20"/>
                <w:lang w:val="en-GB"/>
              </w:rPr>
              <w:t>31 October 2025</w:t>
            </w:r>
            <w:r w:rsidRPr="005C452F">
              <w:rPr>
                <w:sz w:val="20"/>
                <w:szCs w:val="20"/>
                <w:lang w:val="en-GB"/>
              </w:rPr>
              <w:t>, envisages six judges in the unit responsible for anti-corruption, which is higher than the baseline of five.</w:t>
            </w:r>
            <w:r w:rsidRPr="005C452F">
              <w:rPr>
                <w:rStyle w:val="FootnoteReference"/>
                <w:sz w:val="20"/>
                <w:szCs w:val="20"/>
                <w:lang w:val="en-GB"/>
              </w:rPr>
              <w:footnoteReference w:id="6"/>
            </w:r>
          </w:p>
          <w:p w14:paraId="5C836D31" w14:textId="0AE32766" w:rsidR="00FE32AE" w:rsidRPr="005C452F" w:rsidRDefault="00AE5B06" w:rsidP="00AE5B06">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 xml:space="preserve">The Higher Court of </w:t>
            </w:r>
            <w:proofErr w:type="spellStart"/>
            <w:r w:rsidRPr="005C452F">
              <w:rPr>
                <w:sz w:val="20"/>
                <w:szCs w:val="20"/>
                <w:lang w:val="en-GB"/>
              </w:rPr>
              <w:t>Kraljevo</w:t>
            </w:r>
            <w:proofErr w:type="spellEnd"/>
            <w:r w:rsidRPr="005C452F">
              <w:rPr>
                <w:sz w:val="20"/>
                <w:szCs w:val="20"/>
                <w:lang w:val="en-GB"/>
              </w:rPr>
              <w:t xml:space="preserve"> has not published its Annual Schedule for 2026. The Schedule for 2025, adopted on 31 October 2024, envisaged the same number of judges in the anti-corruption department as the baseline (six)</w:t>
            </w:r>
            <w:r w:rsidRPr="005C452F">
              <w:rPr>
                <w:rStyle w:val="FootnoteReference"/>
                <w:sz w:val="20"/>
                <w:szCs w:val="20"/>
                <w:lang w:val="en-GB"/>
              </w:rPr>
              <w:t xml:space="preserve"> </w:t>
            </w:r>
            <w:r w:rsidRPr="005C452F">
              <w:rPr>
                <w:rStyle w:val="FootnoteReference"/>
                <w:sz w:val="20"/>
                <w:szCs w:val="20"/>
                <w:lang w:val="en-GB"/>
              </w:rPr>
              <w:footnoteReference w:id="7"/>
            </w:r>
            <w:r w:rsidRPr="005C452F">
              <w:rPr>
                <w:sz w:val="20"/>
                <w:szCs w:val="20"/>
                <w:lang w:val="en-GB"/>
              </w:rPr>
              <w:t>. However, following amendments to the Schedule, adopted on 2 December 2024, the number of judges was reduced to five.</w:t>
            </w:r>
            <w:r w:rsidR="00FE32AE" w:rsidRPr="005C452F">
              <w:rPr>
                <w:rStyle w:val="FootnoteReference"/>
                <w:sz w:val="20"/>
                <w:szCs w:val="20"/>
                <w:lang w:val="en-GB"/>
              </w:rPr>
              <w:footnoteReference w:id="8"/>
            </w:r>
          </w:p>
          <w:p w14:paraId="3180CF84" w14:textId="3835F40E" w:rsidR="000717F5" w:rsidRPr="005C452F" w:rsidRDefault="000717F5" w:rsidP="000717F5">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Please note that the statistics presented here include only trial judges in court councils and do not cover judges involved in pre-trial investigations or decisions on detention, in order to maintain comparability with the baseline.</w:t>
            </w:r>
          </w:p>
          <w:p w14:paraId="50182B38" w14:textId="77777777" w:rsidR="00AE5B06" w:rsidRPr="005C452F" w:rsidRDefault="00AE5B06" w:rsidP="00AE5B06">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p w14:paraId="6B3928E7" w14:textId="77777777" w:rsidR="00AE5B06" w:rsidRPr="00D66A5C" w:rsidRDefault="00AE5B06" w:rsidP="00AE5B06">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p w14:paraId="02E6FE8C" w14:textId="4A65F43A" w:rsidR="000B16E5" w:rsidRPr="005C452F" w:rsidRDefault="00B57CB0" w:rsidP="00B57CB0">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Decision of the High Prosecution Council on the number of public prosecutors</w:t>
            </w:r>
            <w:r w:rsidR="00E33B11" w:rsidRPr="005C452F">
              <w:rPr>
                <w:sz w:val="20"/>
                <w:szCs w:val="20"/>
                <w:lang w:val="en-GB"/>
              </w:rPr>
              <w:t xml:space="preserve"> was not changed in 2025 or 2026</w:t>
            </w:r>
            <w:r w:rsidR="00AE5B06" w:rsidRPr="005C452F">
              <w:rPr>
                <w:sz w:val="20"/>
                <w:szCs w:val="20"/>
                <w:lang w:val="en-GB"/>
              </w:rPr>
              <w:t xml:space="preserve">. </w:t>
            </w:r>
          </w:p>
          <w:p w14:paraId="2CE9F3EE" w14:textId="77777777" w:rsidR="000717F5" w:rsidRPr="005C452F" w:rsidRDefault="000717F5" w:rsidP="000717F5">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p w14:paraId="293E30CD" w14:textId="0F97590D" w:rsidR="00AE5B06" w:rsidRPr="005C452F" w:rsidRDefault="000717F5" w:rsidP="000717F5">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0717F5">
              <w:rPr>
                <w:sz w:val="20"/>
                <w:szCs w:val="20"/>
                <w:lang w:val="en-GB"/>
              </w:rPr>
              <w:t>The decision of the High Prosecutorial Council (HPC) on the number of public prosecutors was not amended in 2025 or 2026; therefore, the decision adopted on 31 October 2023 remains in force</w:t>
            </w:r>
            <w:r w:rsidRPr="005C452F">
              <w:rPr>
                <w:rStyle w:val="FootnoteReference"/>
                <w:sz w:val="20"/>
                <w:szCs w:val="20"/>
                <w:lang w:val="en-GB"/>
              </w:rPr>
              <w:footnoteReference w:id="9"/>
            </w:r>
            <w:r w:rsidRPr="000717F5">
              <w:rPr>
                <w:sz w:val="20"/>
                <w:szCs w:val="20"/>
                <w:lang w:val="en-GB"/>
              </w:rPr>
              <w:t>. However, similarly to the situation with courts and judges, the Reform Agenda step may not be fully achievable through amendments to the decision issued by the relevant Council.</w:t>
            </w:r>
            <w:r w:rsidRPr="005C452F">
              <w:rPr>
                <w:sz w:val="20"/>
                <w:szCs w:val="20"/>
                <w:lang w:val="en-GB"/>
              </w:rPr>
              <w:t xml:space="preserve"> </w:t>
            </w:r>
            <w:r w:rsidRPr="000717F5">
              <w:rPr>
                <w:sz w:val="20"/>
                <w:szCs w:val="20"/>
                <w:lang w:val="en-GB"/>
              </w:rPr>
              <w:t>While the envisaged number of prosecutors is directly regulated by the decision in the case of the Prosecution for Organised Crime, this is not the case for prosecutors working on corruption cases in higher prosecution offices. Their number is determined by the Head Prosecutors within the framework of the Annual Schedule.</w:t>
            </w:r>
          </w:p>
          <w:p w14:paraId="73E2F398" w14:textId="2320FDEE" w:rsidR="000717F5" w:rsidRPr="005C452F" w:rsidRDefault="000717F5" w:rsidP="000717F5">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With regard to the Prosecution for Organised Crime (POC), out of 25 envisaged positions, the actual number of public prosecutors is 10.</w:t>
            </w:r>
            <w:r w:rsidRPr="005C452F">
              <w:rPr>
                <w:rStyle w:val="FootnoteReference"/>
                <w:sz w:val="20"/>
                <w:szCs w:val="20"/>
                <w:lang w:val="en-GB"/>
              </w:rPr>
              <w:footnoteReference w:id="10"/>
            </w:r>
            <w:r w:rsidR="00C30A4B" w:rsidRPr="005C452F">
              <w:rPr>
                <w:sz w:val="20"/>
                <w:szCs w:val="20"/>
                <w:lang w:val="en-GB"/>
              </w:rPr>
              <w:t xml:space="preserve"> </w:t>
            </w:r>
          </w:p>
          <w:p w14:paraId="0B6C534F" w14:textId="77777777" w:rsidR="0019492F" w:rsidRPr="005C452F" w:rsidRDefault="0019492F" w:rsidP="0019492F">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492F">
              <w:rPr>
                <w:sz w:val="20"/>
                <w:szCs w:val="20"/>
                <w:lang w:val="en-GB"/>
              </w:rPr>
              <w:t>There is no official information on the actual number of prosecutors, either in the Prosecution for Organised Crime (POC) or in the anti-corruption units of the Higher Prosecutors’ Offices (HPPs). The High Public Prosecutor’s Office has not yet published its annual report for 2025</w:t>
            </w:r>
            <w:r w:rsidRPr="005C452F">
              <w:rPr>
                <w:rStyle w:val="FootnoteReference"/>
                <w:sz w:val="20"/>
                <w:szCs w:val="20"/>
                <w:lang w:val="en-GB"/>
              </w:rPr>
              <w:footnoteReference w:id="11"/>
            </w:r>
            <w:r w:rsidRPr="0019492F">
              <w:rPr>
                <w:sz w:val="20"/>
                <w:szCs w:val="20"/>
                <w:lang w:val="en-GB"/>
              </w:rPr>
              <w:t xml:space="preserve">. </w:t>
            </w:r>
          </w:p>
          <w:p w14:paraId="42335E4E" w14:textId="5C2DBDED" w:rsidR="0019492F" w:rsidRPr="0019492F" w:rsidRDefault="0019492F" w:rsidP="0019492F">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492F">
              <w:rPr>
                <w:sz w:val="20"/>
                <w:szCs w:val="20"/>
                <w:lang w:val="en-GB"/>
              </w:rPr>
              <w:t>Annual Schedules are not available on PPO websites, and the Informative Directory of the POC is outdated</w:t>
            </w:r>
            <w:r w:rsidRPr="005C452F">
              <w:rPr>
                <w:rStyle w:val="FootnoteReference"/>
                <w:sz w:val="20"/>
                <w:szCs w:val="20"/>
                <w:lang w:val="en-GB"/>
              </w:rPr>
              <w:footnoteReference w:id="12"/>
            </w:r>
            <w:r w:rsidRPr="005C452F">
              <w:rPr>
                <w:sz w:val="20"/>
                <w:szCs w:val="20"/>
                <w:lang w:val="en-GB"/>
              </w:rPr>
              <w:t>.</w:t>
            </w:r>
            <w:r w:rsidRPr="0019492F">
              <w:rPr>
                <w:sz w:val="20"/>
                <w:szCs w:val="20"/>
                <w:lang w:val="en-GB"/>
              </w:rPr>
              <w:t xml:space="preserve"> Similarly, the Informative Directories of the HPPs in Belgrade</w:t>
            </w:r>
            <w:r w:rsidRPr="005C452F">
              <w:rPr>
                <w:rStyle w:val="FootnoteReference"/>
                <w:sz w:val="20"/>
                <w:szCs w:val="20"/>
                <w:lang w:val="en-GB"/>
              </w:rPr>
              <w:footnoteReference w:id="13"/>
            </w:r>
            <w:r w:rsidRPr="0019492F">
              <w:rPr>
                <w:sz w:val="20"/>
                <w:szCs w:val="20"/>
                <w:lang w:val="en-GB"/>
              </w:rPr>
              <w:t>, Novi Sad</w:t>
            </w:r>
            <w:r w:rsidRPr="005C452F">
              <w:rPr>
                <w:rStyle w:val="FootnoteReference"/>
                <w:sz w:val="20"/>
                <w:szCs w:val="20"/>
                <w:lang w:val="en-GB"/>
              </w:rPr>
              <w:footnoteReference w:id="14"/>
            </w:r>
            <w:r w:rsidRPr="0019492F">
              <w:rPr>
                <w:sz w:val="20"/>
                <w:szCs w:val="20"/>
                <w:lang w:val="en-GB"/>
              </w:rPr>
              <w:t xml:space="preserve">, and </w:t>
            </w:r>
            <w:proofErr w:type="spellStart"/>
            <w:r w:rsidRPr="0019492F">
              <w:rPr>
                <w:sz w:val="20"/>
                <w:szCs w:val="20"/>
                <w:lang w:val="en-GB"/>
              </w:rPr>
              <w:t>Kraljevo</w:t>
            </w:r>
            <w:proofErr w:type="spellEnd"/>
            <w:r w:rsidRPr="005C452F">
              <w:rPr>
                <w:rStyle w:val="FootnoteReference"/>
                <w:sz w:val="20"/>
                <w:szCs w:val="20"/>
                <w:lang w:val="en-GB"/>
              </w:rPr>
              <w:footnoteReference w:id="15"/>
            </w:r>
            <w:r w:rsidRPr="0019492F">
              <w:rPr>
                <w:sz w:val="20"/>
                <w:szCs w:val="20"/>
                <w:lang w:val="en-GB"/>
              </w:rPr>
              <w:t xml:space="preserve"> do not contain this information. Furthermore, in the case of the HPP in </w:t>
            </w:r>
            <w:proofErr w:type="spellStart"/>
            <w:r w:rsidRPr="0019492F">
              <w:rPr>
                <w:sz w:val="20"/>
                <w:szCs w:val="20"/>
                <w:lang w:val="en-GB"/>
              </w:rPr>
              <w:t>Niš</w:t>
            </w:r>
            <w:proofErr w:type="spellEnd"/>
            <w:r w:rsidRPr="005C452F">
              <w:rPr>
                <w:rStyle w:val="FootnoteReference"/>
                <w:sz w:val="20"/>
                <w:szCs w:val="20"/>
                <w:lang w:val="en-GB"/>
              </w:rPr>
              <w:footnoteReference w:id="16"/>
            </w:r>
            <w:r w:rsidRPr="0019492F">
              <w:rPr>
                <w:sz w:val="20"/>
                <w:szCs w:val="20"/>
                <w:lang w:val="en-GB"/>
              </w:rPr>
              <w:t>, the document is outdated.</w:t>
            </w:r>
          </w:p>
          <w:p w14:paraId="47B5BAE4" w14:textId="2CFFD162" w:rsidR="0019492F" w:rsidRPr="0019492F" w:rsidRDefault="0019492F" w:rsidP="0019492F">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492F">
              <w:rPr>
                <w:sz w:val="20"/>
                <w:szCs w:val="20"/>
                <w:lang w:val="en-GB"/>
              </w:rPr>
              <w:t xml:space="preserve">According to media reports, following amendments to the Law and voting in HPC sessions in early March, the POC, in addition to the 10 permanently </w:t>
            </w:r>
            <w:r w:rsidRPr="0019492F">
              <w:rPr>
                <w:sz w:val="20"/>
                <w:szCs w:val="20"/>
                <w:lang w:val="en-GB"/>
              </w:rPr>
              <w:lastRenderedPageBreak/>
              <w:t>assigned prosecutors, has six prosecutors (out of the previous 11) temporarily assigned from other prosecution offices, against a total of 25 envisaged positions</w:t>
            </w:r>
            <w:r w:rsidRPr="005C452F">
              <w:rPr>
                <w:rStyle w:val="FootnoteReference"/>
                <w:sz w:val="20"/>
                <w:szCs w:val="20"/>
                <w:lang w:val="en-GB"/>
              </w:rPr>
              <w:footnoteReference w:id="17"/>
            </w:r>
            <w:r w:rsidRPr="0019492F">
              <w:rPr>
                <w:sz w:val="20"/>
                <w:szCs w:val="20"/>
                <w:lang w:val="en-GB"/>
              </w:rPr>
              <w:t>. The situation in other HPPs</w:t>
            </w:r>
            <w:r w:rsidR="00D97183" w:rsidRPr="005C452F">
              <w:rPr>
                <w:sz w:val="20"/>
                <w:szCs w:val="20"/>
                <w:lang w:val="en-GB"/>
              </w:rPr>
              <w:t>, according to the unofficial information</w:t>
            </w:r>
            <w:r w:rsidRPr="0019492F">
              <w:rPr>
                <w:sz w:val="20"/>
                <w:szCs w:val="20"/>
                <w:lang w:val="en-GB"/>
              </w:rPr>
              <w:t xml:space="preserve"> is as follows:</w:t>
            </w:r>
          </w:p>
          <w:p w14:paraId="21CF8D87" w14:textId="77777777" w:rsidR="0019492F" w:rsidRPr="0019492F" w:rsidRDefault="0019492F" w:rsidP="0019492F">
            <w:pPr>
              <w:numPr>
                <w:ilvl w:val="0"/>
                <w:numId w:val="5"/>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492F">
              <w:rPr>
                <w:sz w:val="20"/>
                <w:szCs w:val="20"/>
                <w:lang w:val="en-GB"/>
              </w:rPr>
              <w:t xml:space="preserve">Belgrade: 19 prosecutors assigned; 25 envisaged </w:t>
            </w:r>
          </w:p>
          <w:p w14:paraId="32753F92" w14:textId="77777777" w:rsidR="0019492F" w:rsidRPr="0019492F" w:rsidRDefault="0019492F" w:rsidP="0019492F">
            <w:pPr>
              <w:numPr>
                <w:ilvl w:val="0"/>
                <w:numId w:val="5"/>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roofErr w:type="spellStart"/>
            <w:r w:rsidRPr="0019492F">
              <w:rPr>
                <w:sz w:val="20"/>
                <w:szCs w:val="20"/>
                <w:lang w:val="en-GB"/>
              </w:rPr>
              <w:t>Niš</w:t>
            </w:r>
            <w:proofErr w:type="spellEnd"/>
            <w:r w:rsidRPr="0019492F">
              <w:rPr>
                <w:sz w:val="20"/>
                <w:szCs w:val="20"/>
                <w:lang w:val="en-GB"/>
              </w:rPr>
              <w:t xml:space="preserve">: 8 prosecutors assigned; 13 envisaged </w:t>
            </w:r>
          </w:p>
          <w:p w14:paraId="5714A179" w14:textId="77777777" w:rsidR="0019492F" w:rsidRPr="0019492F" w:rsidRDefault="0019492F" w:rsidP="0019492F">
            <w:pPr>
              <w:numPr>
                <w:ilvl w:val="0"/>
                <w:numId w:val="5"/>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roofErr w:type="spellStart"/>
            <w:r w:rsidRPr="0019492F">
              <w:rPr>
                <w:sz w:val="20"/>
                <w:szCs w:val="20"/>
                <w:lang w:val="en-GB"/>
              </w:rPr>
              <w:t>Kraljevo</w:t>
            </w:r>
            <w:proofErr w:type="spellEnd"/>
            <w:r w:rsidRPr="0019492F">
              <w:rPr>
                <w:sz w:val="20"/>
                <w:szCs w:val="20"/>
                <w:lang w:val="en-GB"/>
              </w:rPr>
              <w:t xml:space="preserve">: 12 prosecutors assigned; 15 envisaged </w:t>
            </w:r>
          </w:p>
          <w:p w14:paraId="4D838C34" w14:textId="77777777" w:rsidR="0019492F" w:rsidRPr="0019492F" w:rsidRDefault="0019492F" w:rsidP="0019492F">
            <w:pPr>
              <w:numPr>
                <w:ilvl w:val="0"/>
                <w:numId w:val="5"/>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19492F">
              <w:rPr>
                <w:sz w:val="20"/>
                <w:szCs w:val="20"/>
                <w:lang w:val="en-GB"/>
              </w:rPr>
              <w:t>Novi Sad: 12 prosecutors assigned; 15 envisaged</w:t>
            </w:r>
          </w:p>
          <w:p w14:paraId="5EDC3EF4" w14:textId="1F35AFCA" w:rsidR="00C30A4B" w:rsidRPr="005C452F" w:rsidRDefault="00C30A4B" w:rsidP="000717F5">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p w14:paraId="0FB99FAC" w14:textId="163F8932" w:rsidR="00A5567D" w:rsidRPr="005C452F" w:rsidRDefault="00A5567D" w:rsidP="00A5567D">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If these figures are correct, the actual number of prosecutors exceeds the baseline. However, this is unlikely and is more probably a consequence of differences in counting methods, specifically whether prosecutors temporarily assigned from other PPO offices are included or not.</w:t>
            </w:r>
            <w:r w:rsidR="001C13A0" w:rsidRPr="005C452F">
              <w:rPr>
                <w:sz w:val="20"/>
                <w:szCs w:val="20"/>
                <w:lang w:val="en-GB"/>
              </w:rPr>
              <w:t xml:space="preserve"> </w:t>
            </w:r>
          </w:p>
          <w:p w14:paraId="09F66A2A" w14:textId="7AFD6EAE" w:rsidR="001C13A0" w:rsidRPr="005C452F" w:rsidRDefault="001C13A0" w:rsidP="00A5567D">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p w14:paraId="277180E1" w14:textId="0DD0035D" w:rsidR="001C13A0" w:rsidRPr="005C452F" w:rsidRDefault="001C13A0" w:rsidP="001C13A0">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Based on data published on the website of the High Prosecutorial Council</w:t>
            </w:r>
            <w:r w:rsidRPr="005C452F">
              <w:rPr>
                <w:rStyle w:val="FootnoteReference"/>
                <w:sz w:val="20"/>
                <w:szCs w:val="20"/>
                <w:lang w:val="en-GB"/>
              </w:rPr>
              <w:footnoteReference w:id="18"/>
            </w:r>
            <w:r w:rsidRPr="005C452F">
              <w:rPr>
                <w:sz w:val="20"/>
                <w:szCs w:val="20"/>
                <w:lang w:val="en-GB"/>
              </w:rPr>
              <w:t xml:space="preserve">, a total of 20 prosecutors </w:t>
            </w:r>
            <w:proofErr w:type="gramStart"/>
            <w:r w:rsidRPr="005C452F">
              <w:rPr>
                <w:sz w:val="20"/>
                <w:szCs w:val="20"/>
                <w:lang w:val="en-GB"/>
              </w:rPr>
              <w:t>are</w:t>
            </w:r>
            <w:proofErr w:type="gramEnd"/>
            <w:r w:rsidRPr="005C452F">
              <w:rPr>
                <w:sz w:val="20"/>
                <w:szCs w:val="20"/>
                <w:lang w:val="en-GB"/>
              </w:rPr>
              <w:t xml:space="preserve"> assigned to the special anti-corruption department in the Higher Prosecutors’ Office in Belgrade, 12 in Novi Sad, 11 in </w:t>
            </w:r>
            <w:proofErr w:type="spellStart"/>
            <w:r w:rsidRPr="005C452F">
              <w:rPr>
                <w:sz w:val="20"/>
                <w:szCs w:val="20"/>
                <w:lang w:val="en-GB"/>
              </w:rPr>
              <w:t>Kraljevo</w:t>
            </w:r>
            <w:proofErr w:type="spellEnd"/>
            <w:r w:rsidRPr="005C452F">
              <w:rPr>
                <w:sz w:val="20"/>
                <w:szCs w:val="20"/>
                <w:lang w:val="en-GB"/>
              </w:rPr>
              <w:t xml:space="preserve">, and 9 in </w:t>
            </w:r>
            <w:proofErr w:type="spellStart"/>
            <w:r w:rsidRPr="005C452F">
              <w:rPr>
                <w:sz w:val="20"/>
                <w:szCs w:val="20"/>
                <w:lang w:val="en-GB"/>
              </w:rPr>
              <w:t>Niš</w:t>
            </w:r>
            <w:proofErr w:type="spellEnd"/>
            <w:r w:rsidRPr="005C452F">
              <w:rPr>
                <w:sz w:val="20"/>
                <w:szCs w:val="20"/>
                <w:lang w:val="en-GB"/>
              </w:rPr>
              <w:t>.</w:t>
            </w:r>
          </w:p>
          <w:p w14:paraId="6EDF29D8" w14:textId="77777777" w:rsidR="000717F5" w:rsidRPr="005C452F" w:rsidRDefault="000717F5" w:rsidP="00AE5B06">
            <w:p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p w14:paraId="72BFF47B" w14:textId="3F016AEA" w:rsidR="000B16E5" w:rsidRPr="005C452F" w:rsidRDefault="007110FD" w:rsidP="007110FD">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The High Prosecutorial Council (HPC) opened a public call for the election of nine prosecutors in the Prosecution for Organised Crime (POC) on 31 December 2024. While some vacancies exist in the Higher Public Prosecutors’ Offices (HPOs), it is unclear to what extent the employment of new prosecutors would be linked to the work of the anti-corruption departments.</w:t>
            </w:r>
            <w:r w:rsidRPr="005C452F">
              <w:rPr>
                <w:rStyle w:val="FootnoteReference"/>
                <w:sz w:val="20"/>
                <w:szCs w:val="20"/>
                <w:lang w:val="en-GB"/>
              </w:rPr>
              <w:footnoteReference w:id="19"/>
            </w:r>
            <w:r w:rsidR="00E33B11" w:rsidRPr="005C452F">
              <w:rPr>
                <w:sz w:val="20"/>
                <w:szCs w:val="20"/>
                <w:lang w:val="en-GB"/>
              </w:rPr>
              <w:t xml:space="preserve"> </w:t>
            </w:r>
          </w:p>
          <w:p w14:paraId="491318A8" w14:textId="7EF53873" w:rsidR="000B16E5" w:rsidRPr="005C452F" w:rsidRDefault="007110FD" w:rsidP="007110FD">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 xml:space="preserve">This process has not yet been finalised. </w:t>
            </w:r>
          </w:p>
          <w:p w14:paraId="7E6820AB" w14:textId="4F147752" w:rsidR="006B5CB7" w:rsidRPr="006B5CB7" w:rsidRDefault="006B5CB7" w:rsidP="006B5CB7">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6B5CB7">
              <w:rPr>
                <w:sz w:val="20"/>
                <w:szCs w:val="20"/>
                <w:lang w:val="en-GB"/>
              </w:rPr>
              <w:t>The Prosecution for Organised Crime (POC) did not reach full employment of the envisaged number of prosecutors, even when those temporarily assigned from other offices are included in the statistics during this period.</w:t>
            </w:r>
            <w:r w:rsidRPr="005C452F">
              <w:rPr>
                <w:sz w:val="20"/>
                <w:szCs w:val="20"/>
                <w:lang w:val="en-GB"/>
              </w:rPr>
              <w:t xml:space="preserve"> </w:t>
            </w:r>
            <w:r w:rsidRPr="006B5CB7">
              <w:rPr>
                <w:sz w:val="20"/>
                <w:szCs w:val="20"/>
                <w:lang w:val="en-GB"/>
              </w:rPr>
              <w:t xml:space="preserve">On 28 January 2026, the Parliament adopted amendments to the Law on Public Prosecution, based on a proposal by its member Uglješa </w:t>
            </w:r>
            <w:proofErr w:type="spellStart"/>
            <w:r w:rsidRPr="006B5CB7">
              <w:rPr>
                <w:sz w:val="20"/>
                <w:szCs w:val="20"/>
                <w:lang w:val="en-GB"/>
              </w:rPr>
              <w:t>Mrdić</w:t>
            </w:r>
            <w:proofErr w:type="spellEnd"/>
            <w:r w:rsidRPr="006B5CB7">
              <w:rPr>
                <w:sz w:val="20"/>
                <w:szCs w:val="20"/>
                <w:lang w:val="en-GB"/>
              </w:rPr>
              <w:t xml:space="preserve"> (SNS), together with several other judicial laws</w:t>
            </w:r>
            <w:r w:rsidRPr="005C452F">
              <w:rPr>
                <w:rStyle w:val="FootnoteReference"/>
                <w:sz w:val="20"/>
                <w:szCs w:val="20"/>
                <w:lang w:val="en-GB"/>
              </w:rPr>
              <w:footnoteReference w:id="20"/>
            </w:r>
            <w:r w:rsidRPr="006B5CB7">
              <w:rPr>
                <w:sz w:val="20"/>
                <w:szCs w:val="20"/>
                <w:lang w:val="en-GB"/>
              </w:rPr>
              <w:t>. The procedure and content of these laws were heavily criticised both domestically</w:t>
            </w:r>
            <w:r w:rsidRPr="005C452F">
              <w:rPr>
                <w:rStyle w:val="FootnoteReference"/>
                <w:sz w:val="20"/>
                <w:szCs w:val="20"/>
                <w:lang w:val="en-GB"/>
              </w:rPr>
              <w:footnoteReference w:id="21"/>
            </w:r>
            <w:r w:rsidRPr="006B5CB7">
              <w:rPr>
                <w:sz w:val="20"/>
                <w:szCs w:val="20"/>
                <w:lang w:val="en-GB"/>
              </w:rPr>
              <w:t xml:space="preserve"> and by the European Commission’s representatives</w:t>
            </w:r>
            <w:r w:rsidRPr="005C452F">
              <w:rPr>
                <w:rStyle w:val="FootnoteReference"/>
                <w:sz w:val="20"/>
                <w:szCs w:val="20"/>
                <w:lang w:val="en-GB"/>
              </w:rPr>
              <w:footnoteReference w:id="22"/>
            </w:r>
            <w:r w:rsidRPr="006B5CB7">
              <w:rPr>
                <w:sz w:val="20"/>
                <w:szCs w:val="20"/>
                <w:lang w:val="en-GB"/>
              </w:rPr>
              <w:t>. This prompted a request for the Venice Commission to assess the amended laws, which the Commission accepted</w:t>
            </w:r>
            <w:r w:rsidRPr="005C452F">
              <w:rPr>
                <w:rStyle w:val="FootnoteReference"/>
                <w:sz w:val="20"/>
                <w:szCs w:val="20"/>
                <w:lang w:val="en-GB"/>
              </w:rPr>
              <w:footnoteReference w:id="23"/>
            </w:r>
            <w:r w:rsidRPr="006B5CB7">
              <w:rPr>
                <w:sz w:val="20"/>
                <w:szCs w:val="20"/>
                <w:lang w:val="en-GB"/>
              </w:rPr>
              <w:t>.</w:t>
            </w:r>
            <w:r w:rsidRPr="005C452F">
              <w:rPr>
                <w:sz w:val="20"/>
                <w:szCs w:val="20"/>
                <w:lang w:val="en-GB"/>
              </w:rPr>
              <w:t xml:space="preserve"> </w:t>
            </w:r>
            <w:r w:rsidRPr="006B5CB7">
              <w:rPr>
                <w:sz w:val="20"/>
                <w:szCs w:val="20"/>
                <w:lang w:val="en-GB"/>
              </w:rPr>
              <w:t>Among other changes, Article 69 of the Law was amended so that the High Prosecutorial Council (HPC), rather than the Highest Public Prosecutor, would assign prosecutors to temporary positions in the POC. While this provision is generally in line with international standards, in the context of a decision-making process in the HPC that was effectively blocked due to the high majority required for decisions and conflicting interests among its members, it was evident that this amendment could significantly slow down necessary assignments.</w:t>
            </w:r>
            <w:r w:rsidRPr="005C452F">
              <w:rPr>
                <w:sz w:val="20"/>
                <w:szCs w:val="20"/>
                <w:lang w:val="en-GB"/>
              </w:rPr>
              <w:t xml:space="preserve"> </w:t>
            </w:r>
            <w:r w:rsidRPr="006B5CB7">
              <w:rPr>
                <w:sz w:val="20"/>
                <w:szCs w:val="20"/>
                <w:lang w:val="en-GB"/>
              </w:rPr>
              <w:t xml:space="preserve">Additionally, the Law’s transitional provisions envisaged that all prosecutors temporarily </w:t>
            </w:r>
            <w:r w:rsidRPr="006B5CB7">
              <w:rPr>
                <w:sz w:val="20"/>
                <w:szCs w:val="20"/>
                <w:lang w:val="en-GB"/>
              </w:rPr>
              <w:lastRenderedPageBreak/>
              <w:t>assigned to the POC by the Highest Public Prosecutor would be returned to their home offices within 30 days (i.e., by 9 March 2026). It is noteworthy that this change was not presented by the original proponent (</w:t>
            </w:r>
            <w:proofErr w:type="spellStart"/>
            <w:r w:rsidRPr="006B5CB7">
              <w:rPr>
                <w:sz w:val="20"/>
                <w:szCs w:val="20"/>
                <w:lang w:val="en-GB"/>
              </w:rPr>
              <w:t>Mrdić</w:t>
            </w:r>
            <w:proofErr w:type="spellEnd"/>
            <w:r w:rsidRPr="006B5CB7">
              <w:rPr>
                <w:sz w:val="20"/>
                <w:szCs w:val="20"/>
                <w:lang w:val="en-GB"/>
              </w:rPr>
              <w:t>) but was introduced as an amendment by another SNS MP during the parliamentary debate. Since amendments are not published on the parliamentary website, this substantial provision, directly affecting the work of the POC, was not publicly available</w:t>
            </w:r>
            <w:r w:rsidRPr="005C452F">
              <w:rPr>
                <w:rStyle w:val="FootnoteReference"/>
                <w:sz w:val="20"/>
                <w:szCs w:val="20"/>
                <w:lang w:val="en-GB"/>
              </w:rPr>
              <w:footnoteReference w:id="24"/>
            </w:r>
            <w:r w:rsidRPr="006B5CB7">
              <w:rPr>
                <w:sz w:val="20"/>
                <w:szCs w:val="20"/>
                <w:lang w:val="en-GB"/>
              </w:rPr>
              <w:t>.</w:t>
            </w:r>
          </w:p>
          <w:p w14:paraId="7FC029D9" w14:textId="3C1C92AA" w:rsidR="000B16E5" w:rsidRPr="005C452F" w:rsidRDefault="006B5CB7" w:rsidP="006B5CB7">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The Reform Agenda does not specify the type of training expected for judges and prosecutors. Where data on trainings exist, they are not presented specifically for judges and prosecutors in the units responsible for anti-corruption. However, given that the overall number of judges and prosecutors has not increased—or has not increased significantly—the issue of training appears to be of secondary importance.</w:t>
            </w:r>
          </w:p>
          <w:p w14:paraId="0A127820" w14:textId="628C5AA5" w:rsidR="000B16E5" w:rsidRPr="005C452F" w:rsidRDefault="000B16E5" w:rsidP="006B5CB7">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0B16E5" w:rsidRPr="005C452F" w14:paraId="44D7F14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1C021642" w14:textId="77777777" w:rsidR="000B16E5" w:rsidRPr="00617B34" w:rsidRDefault="000B16E5" w:rsidP="000B16E5">
            <w:pPr>
              <w:spacing w:before="120" w:after="120"/>
              <w:rPr>
                <w:rFonts w:ascii="Aptos" w:eastAsia="Times New Roman" w:hAnsi="Aptos" w:cs="Times New Roman"/>
                <w:color w:val="FFFFFF" w:themeColor="background1"/>
                <w:kern w:val="0"/>
                <w:sz w:val="20"/>
                <w:szCs w:val="20"/>
                <w:lang w:val="en-GB" w:eastAsia="en-GB"/>
                <w14:ligatures w14:val="none"/>
              </w:rPr>
            </w:pPr>
            <w:r w:rsidRPr="00617B34">
              <w:rPr>
                <w:rFonts w:ascii="Aptos" w:eastAsia="Times New Roman" w:hAnsi="Aptos" w:cs="Times New Roman"/>
                <w:color w:val="FFFFFF" w:themeColor="background1"/>
                <w:kern w:val="0"/>
                <w:sz w:val="20"/>
                <w:szCs w:val="20"/>
                <w:lang w:val="en-GB" w:eastAsia="en-GB"/>
                <w14:ligatures w14:val="none"/>
              </w:rPr>
              <w:lastRenderedPageBreak/>
              <w:t>Key issues in implementation</w:t>
            </w:r>
          </w:p>
        </w:tc>
        <w:tc>
          <w:tcPr>
            <w:tcW w:w="6753" w:type="dxa"/>
          </w:tcPr>
          <w:p w14:paraId="171CA5CA"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C452F">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4111041F"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0B16E5" w:rsidRPr="005C452F" w14:paraId="61C9A30B"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2B4F9153" w14:textId="77777777" w:rsidR="000B16E5" w:rsidRPr="00617B34" w:rsidRDefault="000B16E5" w:rsidP="000B16E5">
            <w:pPr>
              <w:spacing w:before="120" w:after="120"/>
              <w:rPr>
                <w:rFonts w:ascii="Aptos" w:eastAsia="Times New Roman" w:hAnsi="Aptos" w:cs="Times New Roman"/>
                <w:color w:val="FFFFFF" w:themeColor="background1"/>
                <w:kern w:val="0"/>
                <w:sz w:val="20"/>
                <w:szCs w:val="20"/>
                <w:lang w:val="en-GB" w:eastAsia="en-GB"/>
                <w14:ligatures w14:val="none"/>
              </w:rPr>
            </w:pPr>
            <w:r w:rsidRPr="00617B34">
              <w:rPr>
                <w:rFonts w:ascii="Aptos" w:eastAsia="Times New Roman" w:hAnsi="Aptos" w:cs="Times New Roman"/>
                <w:color w:val="FFFFFF" w:themeColor="background1"/>
                <w:kern w:val="0"/>
                <w:sz w:val="20"/>
                <w:szCs w:val="20"/>
                <w:lang w:val="en-GB" w:eastAsia="en-GB"/>
                <w14:ligatures w14:val="none"/>
              </w:rPr>
              <w:t>Analyse how key principles of RGF were respected in the reform step implementation</w:t>
            </w:r>
          </w:p>
        </w:tc>
        <w:tc>
          <w:tcPr>
            <w:tcW w:w="6753" w:type="dxa"/>
          </w:tcPr>
          <w:p w14:paraId="2686EBE7"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C452F">
              <w:rPr>
                <w:i/>
                <w:iCs/>
                <w:sz w:val="20"/>
                <w:szCs w:val="20"/>
                <w:lang w:val="en-GB"/>
              </w:rPr>
              <w:t xml:space="preserve">How transparent has the reform step implementation been? How has civil society and the wider public been informed about it? What data and information, including key documents, have been made publicly available? </w:t>
            </w:r>
          </w:p>
          <w:p w14:paraId="2114D316"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C452F">
              <w:rPr>
                <w:i/>
                <w:iCs/>
                <w:sz w:val="20"/>
                <w:szCs w:val="20"/>
                <w:lang w:val="en-GB"/>
              </w:rPr>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36F2C87C"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C452F">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1B02208E"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C452F">
              <w:rPr>
                <w:i/>
                <w:iCs/>
                <w:sz w:val="20"/>
                <w:szCs w:val="20"/>
                <w:lang w:val="en-GB"/>
              </w:rPr>
              <w:t>Please provide references wherever possible.</w:t>
            </w:r>
          </w:p>
          <w:p w14:paraId="3BA7A374"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5C452F">
              <w:rPr>
                <w:b/>
                <w:bCs/>
                <w:sz w:val="20"/>
                <w:szCs w:val="20"/>
                <w:lang w:val="en-GB"/>
              </w:rPr>
              <w:t>Key issues</w:t>
            </w:r>
          </w:p>
          <w:p w14:paraId="1CD04F40" w14:textId="77777777" w:rsidR="00FD6097" w:rsidRPr="005C452F" w:rsidRDefault="00FD6097" w:rsidP="000B16E5">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p>
          <w:p w14:paraId="13EB9017" w14:textId="3E21413B"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5C452F">
              <w:rPr>
                <w:b/>
                <w:bCs/>
                <w:sz w:val="20"/>
                <w:szCs w:val="20"/>
                <w:lang w:val="en-GB"/>
              </w:rPr>
              <w:t>Transparency</w:t>
            </w:r>
          </w:p>
          <w:p w14:paraId="4F03886A" w14:textId="4E35EBA3" w:rsidR="000B16E5" w:rsidRPr="005C452F" w:rsidRDefault="00FD6097" w:rsidP="00FD609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While some aspects of the process are transparent, such as the public call for new prosecutors, the main issue is that most information is not published, particularly regarding the Higher Prosecutors’ Offices (e.g., their Annual Schedules). Furthermore, the Reform Agenda step lacks clarity regarding the baseline—specifically, whether it tracks only the number of trial judges and whether it includes only permanent prosecutors or also those temporarily assigned. It is therefore of utmost importance to resolve these ambiguities and to ensure the transparency and accuracy of all relevant sources of information.</w:t>
            </w:r>
          </w:p>
          <w:p w14:paraId="55951DFA" w14:textId="5EEF6F19" w:rsidR="000B16E5" w:rsidRPr="005C452F" w:rsidRDefault="00FD6097" w:rsidP="000B16E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FD6097">
              <w:rPr>
                <w:sz w:val="20"/>
                <w:szCs w:val="20"/>
                <w:lang w:val="en-GB"/>
              </w:rPr>
              <w:t xml:space="preserve">In the process of legislative changes affecting the achievement of this reform step, transparency existed to a certain extent but was limited by the fact that </w:t>
            </w:r>
            <w:r w:rsidRPr="00FD6097">
              <w:rPr>
                <w:sz w:val="20"/>
                <w:szCs w:val="20"/>
                <w:lang w:val="en-GB"/>
              </w:rPr>
              <w:lastRenderedPageBreak/>
              <w:t>the key provision was introduced as an amendment by a Member of Parliament and was therefore not published on the parliamentary website.</w:t>
            </w:r>
          </w:p>
          <w:p w14:paraId="4783F64F"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5C452F">
              <w:rPr>
                <w:b/>
                <w:bCs/>
                <w:sz w:val="20"/>
                <w:szCs w:val="20"/>
                <w:lang w:val="en-GB"/>
              </w:rPr>
              <w:t>Inclusivity</w:t>
            </w:r>
          </w:p>
          <w:p w14:paraId="3B3FACA0" w14:textId="27F0DE4D" w:rsidR="00FD6097" w:rsidRPr="005C452F" w:rsidRDefault="00FD6097" w:rsidP="00FD609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The process for preparing the Annual Schedule in courts and prosecution offices provides for some level of inclusiveness for those directly concerned.</w:t>
            </w:r>
          </w:p>
          <w:p w14:paraId="21FFDED8" w14:textId="77777777" w:rsidR="007823B2" w:rsidRPr="005C452F" w:rsidRDefault="007823B2" w:rsidP="007823B2">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T</w:t>
            </w:r>
            <w:r w:rsidRPr="007823B2">
              <w:rPr>
                <w:sz w:val="20"/>
                <w:szCs w:val="20"/>
                <w:lang w:val="en-GB"/>
              </w:rPr>
              <w:t xml:space="preserve">he </w:t>
            </w:r>
            <w:r w:rsidRPr="005C452F">
              <w:rPr>
                <w:sz w:val="20"/>
                <w:szCs w:val="20"/>
                <w:lang w:val="en-GB"/>
              </w:rPr>
              <w:t>D</w:t>
            </w:r>
            <w:r w:rsidRPr="007823B2">
              <w:rPr>
                <w:sz w:val="20"/>
                <w:szCs w:val="20"/>
                <w:lang w:val="en-GB"/>
              </w:rPr>
              <w:t xml:space="preserve">ecision on the overall number of prosecutors in the Prosecution for Organised Crime (POC) was not changed. </w:t>
            </w:r>
          </w:p>
          <w:p w14:paraId="13F1C0E9" w14:textId="53BA0287" w:rsidR="007823B2" w:rsidRPr="007823B2" w:rsidRDefault="007823B2" w:rsidP="007823B2">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7823B2">
              <w:rPr>
                <w:sz w:val="20"/>
                <w:szCs w:val="20"/>
                <w:lang w:val="en-GB"/>
              </w:rPr>
              <w:t>The legislative process for amending the relevant laws disregarded the principle of inclusivity. Neither the High Judicial Council (HJC) nor the High Prosecutorial Council (HPC) were consulted on the proposed amendments. Similarly, there was no consultation with the Agency for the Prevention of Corruption, professional associations, or the broader public.</w:t>
            </w:r>
          </w:p>
          <w:p w14:paraId="4C56429F" w14:textId="10D538C4" w:rsidR="007823B2" w:rsidRPr="005C452F" w:rsidRDefault="007823B2" w:rsidP="00FD609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7823B2">
              <w:rPr>
                <w:sz w:val="20"/>
                <w:szCs w:val="20"/>
                <w:lang w:val="en-GB"/>
              </w:rPr>
              <w:t>Regarding the draft laws, the Government provided a positive opinion</w:t>
            </w:r>
            <w:r w:rsidRPr="005C452F">
              <w:rPr>
                <w:rStyle w:val="FootnoteReference"/>
                <w:sz w:val="20"/>
                <w:szCs w:val="20"/>
                <w:lang w:val="en-GB"/>
              </w:rPr>
              <w:footnoteReference w:id="25"/>
            </w:r>
            <w:r w:rsidRPr="007823B2">
              <w:rPr>
                <w:sz w:val="20"/>
                <w:szCs w:val="20"/>
                <w:lang w:val="en-GB"/>
              </w:rPr>
              <w:t xml:space="preserve">. However, due to parliamentary procedure, for amendments proposed during the debate, the Government was not consulted and only the original proponent of the bills (MP </w:t>
            </w:r>
            <w:proofErr w:type="spellStart"/>
            <w:r w:rsidRPr="007823B2">
              <w:rPr>
                <w:sz w:val="20"/>
                <w:szCs w:val="20"/>
                <w:lang w:val="en-GB"/>
              </w:rPr>
              <w:t>Mrdić</w:t>
            </w:r>
            <w:proofErr w:type="spellEnd"/>
            <w:r w:rsidRPr="007823B2">
              <w:rPr>
                <w:sz w:val="20"/>
                <w:szCs w:val="20"/>
                <w:lang w:val="en-GB"/>
              </w:rPr>
              <w:t>) was involved</w:t>
            </w:r>
            <w:r w:rsidRPr="005C452F">
              <w:rPr>
                <w:rStyle w:val="FootnoteReference"/>
                <w:sz w:val="20"/>
                <w:szCs w:val="20"/>
                <w:lang w:val="en-GB"/>
              </w:rPr>
              <w:footnoteReference w:id="26"/>
            </w:r>
            <w:r w:rsidRPr="007823B2">
              <w:rPr>
                <w:sz w:val="20"/>
                <w:szCs w:val="20"/>
                <w:lang w:val="en-GB"/>
              </w:rPr>
              <w:t>. Likewise, the European Commission was not consulted prior to the adoption of the set of judicial laws, despite their significance in the context of Chapter 23 of EU integration.</w:t>
            </w:r>
          </w:p>
          <w:p w14:paraId="54ABE6FF" w14:textId="77777777" w:rsidR="00FD6097" w:rsidRPr="005C452F" w:rsidRDefault="00FD6097" w:rsidP="000B16E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0B16E5" w:rsidRPr="005C452F" w14:paraId="6A9A6B9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0F80D81B" w14:textId="77777777" w:rsidR="000B16E5" w:rsidRPr="00617B34" w:rsidRDefault="000B16E5" w:rsidP="000B16E5">
            <w:pPr>
              <w:spacing w:before="120" w:after="120"/>
              <w:rPr>
                <w:rFonts w:ascii="Aptos" w:eastAsia="Times New Roman" w:hAnsi="Aptos" w:cs="Times New Roman"/>
                <w:color w:val="FFFFFF" w:themeColor="background1"/>
                <w:kern w:val="0"/>
                <w:sz w:val="20"/>
                <w:szCs w:val="20"/>
                <w:lang w:val="en-GB" w:eastAsia="en-GB"/>
                <w14:ligatures w14:val="none"/>
              </w:rPr>
            </w:pPr>
            <w:r w:rsidRPr="00617B34">
              <w:rPr>
                <w:rFonts w:ascii="Aptos" w:eastAsia="Times New Roman" w:hAnsi="Aptos" w:cs="Times New Roman"/>
                <w:color w:val="FFFFFF" w:themeColor="background1"/>
                <w:kern w:val="0"/>
                <w:sz w:val="20"/>
                <w:szCs w:val="20"/>
                <w:lang w:val="en-GB" w:eastAsia="en-GB"/>
                <w14:ligatures w14:val="none"/>
              </w:rPr>
              <w:lastRenderedPageBreak/>
              <w:t>Public availability of evidence of implementation</w:t>
            </w:r>
          </w:p>
        </w:tc>
        <w:tc>
          <w:tcPr>
            <w:tcW w:w="6753" w:type="dxa"/>
          </w:tcPr>
          <w:p w14:paraId="62A9C05A" w14:textId="1C4F346F" w:rsidR="000B16E5" w:rsidRPr="005C452F" w:rsidRDefault="000B16E5" w:rsidP="007823B2">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C452F">
              <w:rPr>
                <w:i/>
                <w:iCs/>
                <w:sz w:val="20"/>
                <w:szCs w:val="20"/>
                <w:lang w:val="en-GB"/>
              </w:rPr>
              <w:t>Has the final source of verification (as per Reform Agenda) been made publicly available? If yes, please list the source (provide link) and date.</w:t>
            </w:r>
          </w:p>
          <w:p w14:paraId="4BC63BC1" w14:textId="77777777" w:rsidR="007823B2" w:rsidRPr="007823B2" w:rsidRDefault="007823B2" w:rsidP="007823B2">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7823B2">
              <w:rPr>
                <w:sz w:val="20"/>
                <w:szCs w:val="20"/>
                <w:lang w:val="en-GB"/>
              </w:rPr>
              <w:t>The sources of verification indicated in the Reform Agenda are generally incorrect, except partially in the case of the Prosecution for Organised Crime (POC). Substantively, some sources of verification are available, such as the Annual Schedules of courts, while others, such as the Annual Schedules of Higher Prosecutors’ Offices (HPOs), are missing. The actual number of POC prosecutors is not readily available but can be determined by consulting multiple sources.</w:t>
            </w:r>
          </w:p>
          <w:p w14:paraId="254517CF" w14:textId="39C6415B" w:rsidR="000B16E5" w:rsidRPr="005C452F" w:rsidRDefault="007823B2" w:rsidP="000B16E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For these links, please see</w:t>
            </w:r>
            <w:r w:rsidR="005C452F" w:rsidRPr="005C452F">
              <w:rPr>
                <w:sz w:val="20"/>
                <w:szCs w:val="20"/>
                <w:lang w:val="en-GB"/>
              </w:rPr>
              <w:t xml:space="preserve"> in “Analyses” of milestones. </w:t>
            </w:r>
          </w:p>
          <w:p w14:paraId="66AF353E"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0B16E5" w:rsidRPr="005C452F" w14:paraId="344DCB39"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11E07B9" w14:textId="77777777" w:rsidR="000B16E5" w:rsidRPr="00617B34" w:rsidRDefault="000B16E5" w:rsidP="000B16E5">
            <w:pPr>
              <w:spacing w:before="120" w:after="120"/>
              <w:rPr>
                <w:rFonts w:ascii="Aptos" w:eastAsia="Times New Roman" w:hAnsi="Aptos" w:cs="Times New Roman"/>
                <w:color w:val="FFFFFF" w:themeColor="background1"/>
                <w:kern w:val="0"/>
                <w:sz w:val="20"/>
                <w:szCs w:val="20"/>
                <w:lang w:val="en-GB" w:eastAsia="en-GB"/>
                <w14:ligatures w14:val="none"/>
              </w:rPr>
            </w:pPr>
            <w:r w:rsidRPr="00617B34">
              <w:rPr>
                <w:rFonts w:ascii="Aptos" w:eastAsia="Times New Roman" w:hAnsi="Aptos" w:cs="Times New Roman"/>
                <w:color w:val="FFFFFF" w:themeColor="background1"/>
                <w:kern w:val="0"/>
                <w:sz w:val="20"/>
                <w:szCs w:val="20"/>
                <w:lang w:val="en-GB" w:eastAsia="en-GB"/>
                <w14:ligatures w14:val="none"/>
              </w:rPr>
              <w:t>Analyse quality of the final output of the reform step</w:t>
            </w:r>
          </w:p>
        </w:tc>
        <w:tc>
          <w:tcPr>
            <w:tcW w:w="6753" w:type="dxa"/>
          </w:tcPr>
          <w:p w14:paraId="03C6DF40" w14:textId="340C7707" w:rsidR="000B16E5" w:rsidRPr="005C452F" w:rsidRDefault="000B16E5" w:rsidP="005C452F">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C452F">
              <w:rPr>
                <w:i/>
                <w:iCs/>
                <w:sz w:val="20"/>
                <w:szCs w:val="20"/>
                <w:lang w:val="en-GB"/>
              </w:rPr>
              <w:t xml:space="preserve">To what extent does the final output of this reform step respect the applicable EU membership requirements/principles/standards? </w:t>
            </w:r>
          </w:p>
          <w:p w14:paraId="7F6F4E3F" w14:textId="42C8E315" w:rsidR="000B16E5" w:rsidRPr="005C452F" w:rsidRDefault="005C452F" w:rsidP="005C452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The reform step has not been achieved.</w:t>
            </w:r>
          </w:p>
          <w:p w14:paraId="6C19C956"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bl>
    <w:p w14:paraId="277A219A" w14:textId="77777777" w:rsidR="000B16E5" w:rsidRPr="005C452F" w:rsidRDefault="000B16E5" w:rsidP="000B16E5">
      <w:pPr>
        <w:spacing w:after="0" w:line="240" w:lineRule="auto"/>
        <w:rPr>
          <w:sz w:val="24"/>
          <w:szCs w:val="24"/>
        </w:rPr>
      </w:pPr>
    </w:p>
    <w:p w14:paraId="1367C6E6" w14:textId="77777777" w:rsidR="000B16E5" w:rsidRPr="005C452F" w:rsidRDefault="000B16E5" w:rsidP="000B16E5">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5C452F">
        <w:rPr>
          <w:rFonts w:asciiTheme="majorHAnsi" w:eastAsiaTheme="majorEastAsia" w:hAnsiTheme="majorHAnsi" w:cstheme="majorBidi"/>
          <w:color w:val="2F5496" w:themeColor="accent1" w:themeShade="BF"/>
          <w:sz w:val="40"/>
          <w:szCs w:val="40"/>
        </w:rPr>
        <w:t>Final assessment</w:t>
      </w:r>
    </w:p>
    <w:p w14:paraId="0F4610A4" w14:textId="77777777" w:rsidR="000B16E5" w:rsidRPr="005C452F" w:rsidRDefault="000B16E5" w:rsidP="000B16E5">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0B16E5" w:rsidRPr="005C452F" w14:paraId="4B42BCE7"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0DF92811" w14:textId="3B63E112" w:rsidR="000B16E5" w:rsidRPr="00617B34" w:rsidRDefault="000B16E5" w:rsidP="000B16E5">
            <w:pPr>
              <w:spacing w:before="60" w:after="60"/>
              <w:rPr>
                <w:color w:val="FFFFFF" w:themeColor="background1"/>
                <w:sz w:val="20"/>
                <w:szCs w:val="20"/>
                <w:lang w:val="en-GB"/>
              </w:rPr>
            </w:pPr>
            <w:r w:rsidRPr="00617B34">
              <w:rPr>
                <w:color w:val="FFFFFF" w:themeColor="background1"/>
                <w:sz w:val="20"/>
                <w:szCs w:val="20"/>
                <w:lang w:val="en-GB"/>
              </w:rPr>
              <w:t>Assess formal achievement</w:t>
            </w:r>
          </w:p>
        </w:tc>
        <w:tc>
          <w:tcPr>
            <w:tcW w:w="6753" w:type="dxa"/>
          </w:tcPr>
          <w:p w14:paraId="764EE20B" w14:textId="575DACBF" w:rsidR="000B16E5" w:rsidRPr="005C452F" w:rsidRDefault="005C452F" w:rsidP="000B16E5">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A604C5">
              <w:rPr>
                <w:b/>
                <w:bCs/>
                <w:sz w:val="20"/>
                <w:szCs w:val="20"/>
                <w:lang w:val="en-GB"/>
              </w:rPr>
              <w:t>Not achieved</w:t>
            </w:r>
            <w:r w:rsidRPr="005C452F">
              <w:rPr>
                <w:sz w:val="20"/>
                <w:szCs w:val="20"/>
                <w:lang w:val="en-GB"/>
              </w:rPr>
              <w:t xml:space="preserve">. </w:t>
            </w:r>
          </w:p>
        </w:tc>
      </w:tr>
      <w:tr w:rsidR="000B16E5" w:rsidRPr="005C452F" w14:paraId="60D57956"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5A55BBF7" w14:textId="77777777" w:rsidR="000B16E5" w:rsidRPr="00617B34" w:rsidRDefault="000B16E5" w:rsidP="000B16E5">
            <w:pPr>
              <w:spacing w:before="60" w:after="60"/>
              <w:rPr>
                <w:color w:val="FFFFFF" w:themeColor="background1"/>
                <w:sz w:val="20"/>
                <w:szCs w:val="20"/>
                <w:lang w:val="en-GB"/>
              </w:rPr>
            </w:pPr>
            <w:r w:rsidRPr="00617B34">
              <w:rPr>
                <w:color w:val="FFFFFF" w:themeColor="background1"/>
                <w:sz w:val="20"/>
                <w:szCs w:val="20"/>
                <w:lang w:val="en-GB"/>
              </w:rPr>
              <w:t>Elaboration of final assessment</w:t>
            </w:r>
          </w:p>
        </w:tc>
        <w:tc>
          <w:tcPr>
            <w:tcW w:w="6753" w:type="dxa"/>
          </w:tcPr>
          <w:p w14:paraId="1FD47591" w14:textId="0F02EB20" w:rsidR="000B16E5" w:rsidRPr="005C452F" w:rsidRDefault="005C452F" w:rsidP="005C452F">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C452F">
              <w:rPr>
                <w:sz w:val="20"/>
                <w:szCs w:val="20"/>
                <w:lang w:val="en-GB"/>
              </w:rPr>
              <w:t xml:space="preserve">The reform step is neither correctly nor clearly formulated. Nevertheless, it is evident that the goals of the reform were not achieved, as the number of </w:t>
            </w:r>
            <w:r w:rsidRPr="005C452F">
              <w:rPr>
                <w:sz w:val="20"/>
                <w:szCs w:val="20"/>
                <w:lang w:val="en-GB"/>
              </w:rPr>
              <w:lastRenderedPageBreak/>
              <w:t>envisaged judges and prosecutors did not reach the planned levels and, in some instances, did not improve compared with the baseline. Furthermore, as a consequence of recently amended legislation, the number of prosecutors assigned to the Prosecution for Organised Crime (POC) has even decreased compared with the situation at the beginning of the process. This deterioration appears to have been motivated by interests clearly at odds with the goals of the reform and with overall EU integration, namely the aim of preventing potential investigations of corruption against individuals in government or closely associated with it.</w:t>
            </w:r>
            <w:r w:rsidRPr="005C452F">
              <w:rPr>
                <w:rStyle w:val="FootnoteReference"/>
                <w:sz w:val="20"/>
                <w:szCs w:val="20"/>
                <w:lang w:val="en-GB"/>
              </w:rPr>
              <w:footnoteReference w:id="27"/>
            </w:r>
          </w:p>
          <w:p w14:paraId="34AF094D"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3A04AFB5" w14:textId="77777777" w:rsidR="000B16E5" w:rsidRPr="005C452F" w:rsidRDefault="000B16E5" w:rsidP="000B16E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tc>
      </w:tr>
    </w:tbl>
    <w:p w14:paraId="789CB620" w14:textId="77777777" w:rsidR="000B16E5" w:rsidRPr="005C452F" w:rsidRDefault="000B16E5" w:rsidP="000B16E5">
      <w:pPr>
        <w:spacing w:after="0" w:line="240" w:lineRule="auto"/>
        <w:rPr>
          <w:sz w:val="24"/>
          <w:szCs w:val="24"/>
        </w:rPr>
      </w:pPr>
    </w:p>
    <w:p w14:paraId="2F03DA52" w14:textId="77777777" w:rsidR="000B16E5" w:rsidRPr="005C452F" w:rsidRDefault="000B16E5" w:rsidP="000B16E5">
      <w:pPr>
        <w:spacing w:after="0" w:line="240" w:lineRule="auto"/>
        <w:rPr>
          <w:sz w:val="24"/>
          <w:szCs w:val="24"/>
        </w:rPr>
      </w:pPr>
    </w:p>
    <w:p w14:paraId="41DB3675" w14:textId="77777777" w:rsidR="000B16E5" w:rsidRPr="005C452F" w:rsidRDefault="000B16E5" w:rsidP="000B16E5">
      <w:pPr>
        <w:spacing w:after="0" w:line="240" w:lineRule="auto"/>
        <w:rPr>
          <w:sz w:val="24"/>
          <w:szCs w:val="24"/>
        </w:rPr>
      </w:pPr>
    </w:p>
    <w:p w14:paraId="11C508F6" w14:textId="77777777" w:rsidR="000B16E5" w:rsidRPr="005C452F" w:rsidRDefault="000B16E5" w:rsidP="000B16E5">
      <w:pPr>
        <w:spacing w:after="0" w:line="240" w:lineRule="auto"/>
        <w:rPr>
          <w:sz w:val="24"/>
          <w:szCs w:val="24"/>
        </w:rPr>
      </w:pPr>
    </w:p>
    <w:p w14:paraId="4EF592C4" w14:textId="77777777" w:rsidR="000B16E5" w:rsidRPr="005C452F" w:rsidRDefault="000B16E5" w:rsidP="000B16E5"/>
    <w:p w14:paraId="3E0C5B65" w14:textId="77777777" w:rsidR="000B16E5" w:rsidRPr="005C452F" w:rsidRDefault="000B16E5" w:rsidP="000B16E5"/>
    <w:p w14:paraId="7B1B04A2" w14:textId="77777777" w:rsidR="000B16E5" w:rsidRPr="005C452F" w:rsidRDefault="000B16E5" w:rsidP="000B16E5"/>
    <w:p w14:paraId="568DBDFA" w14:textId="77777777" w:rsidR="000B16E5" w:rsidRPr="005C452F" w:rsidRDefault="000B16E5" w:rsidP="000B16E5"/>
    <w:p w14:paraId="23AD5E26" w14:textId="77777777" w:rsidR="00FB11D0" w:rsidRPr="005C452F" w:rsidRDefault="00FB11D0"/>
    <w:sectPr w:rsidR="00FB11D0" w:rsidRPr="005C452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1BF12" w14:textId="77777777" w:rsidR="00577894" w:rsidRDefault="00577894" w:rsidP="000B16E5">
      <w:pPr>
        <w:spacing w:after="0" w:line="240" w:lineRule="auto"/>
      </w:pPr>
      <w:r>
        <w:separator/>
      </w:r>
    </w:p>
  </w:endnote>
  <w:endnote w:type="continuationSeparator" w:id="0">
    <w:p w14:paraId="0DC53842" w14:textId="77777777" w:rsidR="00577894" w:rsidRDefault="00577894" w:rsidP="000B1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41CCB" w14:textId="77777777" w:rsidR="00577894" w:rsidRDefault="00577894" w:rsidP="000B16E5">
      <w:pPr>
        <w:spacing w:after="0" w:line="240" w:lineRule="auto"/>
      </w:pPr>
      <w:r>
        <w:separator/>
      </w:r>
    </w:p>
  </w:footnote>
  <w:footnote w:type="continuationSeparator" w:id="0">
    <w:p w14:paraId="7213C4E0" w14:textId="77777777" w:rsidR="00577894" w:rsidRDefault="00577894" w:rsidP="000B16E5">
      <w:pPr>
        <w:spacing w:after="0" w:line="240" w:lineRule="auto"/>
      </w:pPr>
      <w:r>
        <w:continuationSeparator/>
      </w:r>
    </w:p>
  </w:footnote>
  <w:footnote w:id="1">
    <w:p w14:paraId="69854FBA" w14:textId="77777777" w:rsidR="006F46FD" w:rsidRDefault="006F46FD" w:rsidP="006F46FD">
      <w:pPr>
        <w:pStyle w:val="FootnoteText"/>
      </w:pPr>
      <w:r>
        <w:rPr>
          <w:rStyle w:val="FootnoteReference"/>
        </w:rPr>
        <w:footnoteRef/>
      </w:r>
      <w:r>
        <w:t xml:space="preserve"> </w:t>
      </w:r>
      <w:hyperlink r:id="rId1" w:history="1">
        <w:r w:rsidRPr="00C75EDD">
          <w:rPr>
            <w:rStyle w:val="Hyperlink"/>
          </w:rPr>
          <w:t>https://bg.ap.sud.rs/files/GODIŠNJI%20RASPORED%202026..pdf</w:t>
        </w:r>
      </w:hyperlink>
      <w:r>
        <w:t xml:space="preserve">, page 16.  </w:t>
      </w:r>
    </w:p>
  </w:footnote>
  <w:footnote w:id="2">
    <w:p w14:paraId="0206F6FA" w14:textId="77777777" w:rsidR="003317EB" w:rsidRPr="006F46FD" w:rsidRDefault="003317EB" w:rsidP="003317EB">
      <w:pPr>
        <w:pStyle w:val="FootnoteText"/>
      </w:pPr>
      <w:r>
        <w:rPr>
          <w:rStyle w:val="FootnoteReference"/>
        </w:rPr>
        <w:footnoteRef/>
      </w:r>
      <w:r>
        <w:t xml:space="preserve"> </w:t>
      </w:r>
      <w:hyperlink r:id="rId2" w:history="1">
        <w:r w:rsidRPr="00C75EDD">
          <w:rPr>
            <w:rStyle w:val="Hyperlink"/>
          </w:rPr>
          <w:t>https://www.bg.ap.sud.rs/files/GODISNJI%20RASPORED%20ZA%202025.%2028.10.2024..pdf</w:t>
        </w:r>
      </w:hyperlink>
      <w:r>
        <w:rPr>
          <w:lang w:val="sr-Cyrl-RS"/>
        </w:rPr>
        <w:t xml:space="preserve">, </w:t>
      </w:r>
      <w:r>
        <w:t>page 15.</w:t>
      </w:r>
    </w:p>
  </w:footnote>
  <w:footnote w:id="3">
    <w:p w14:paraId="0CC02D95" w14:textId="37E398FF" w:rsidR="006F46FD" w:rsidRDefault="006F46FD">
      <w:pPr>
        <w:pStyle w:val="FootnoteText"/>
      </w:pPr>
      <w:r>
        <w:rPr>
          <w:rStyle w:val="FootnoteReference"/>
        </w:rPr>
        <w:footnoteRef/>
      </w:r>
      <w:r>
        <w:t xml:space="preserve"> </w:t>
      </w:r>
      <w:hyperlink r:id="rId3" w:history="1">
        <w:r w:rsidRPr="00C75EDD">
          <w:rPr>
            <w:rStyle w:val="Hyperlink"/>
          </w:rPr>
          <w:t>https://www.bg.ap.sud.rs/files/IZMENE%20GODIŠNJEG%20RASPOREDA%2025.6.%202025..pdf</w:t>
        </w:r>
      </w:hyperlink>
      <w:r>
        <w:t xml:space="preserve">, pages 2 and </w:t>
      </w:r>
      <w:r w:rsidR="003317EB">
        <w:t>3</w:t>
      </w:r>
      <w:r>
        <w:t>.</w:t>
      </w:r>
    </w:p>
  </w:footnote>
  <w:footnote w:id="4">
    <w:p w14:paraId="7303DFD8" w14:textId="5EAD1D63" w:rsidR="003317EB" w:rsidRDefault="003317EB">
      <w:pPr>
        <w:pStyle w:val="FootnoteText"/>
      </w:pPr>
      <w:r>
        <w:rPr>
          <w:rStyle w:val="FootnoteReference"/>
        </w:rPr>
        <w:footnoteRef/>
      </w:r>
      <w:r>
        <w:t xml:space="preserve"> </w:t>
      </w:r>
      <w:hyperlink r:id="rId4" w:history="1">
        <w:r w:rsidRPr="00C75EDD">
          <w:rPr>
            <w:rStyle w:val="Hyperlink"/>
          </w:rPr>
          <w:t>https://www.bg.vi.sud.rs/tekst/320/sudije.php</w:t>
        </w:r>
      </w:hyperlink>
      <w:r>
        <w:t xml:space="preserve"> </w:t>
      </w:r>
    </w:p>
  </w:footnote>
  <w:footnote w:id="5">
    <w:p w14:paraId="743741A2" w14:textId="332A4E44" w:rsidR="003317EB" w:rsidRDefault="003317EB">
      <w:pPr>
        <w:pStyle w:val="FootnoteText"/>
      </w:pPr>
      <w:r>
        <w:rPr>
          <w:rStyle w:val="FootnoteReference"/>
        </w:rPr>
        <w:footnoteRef/>
      </w:r>
      <w:r>
        <w:t xml:space="preserve"> </w:t>
      </w:r>
      <w:hyperlink r:id="rId5" w:history="1">
        <w:r w:rsidRPr="00C75EDD">
          <w:rPr>
            <w:rStyle w:val="Hyperlink"/>
          </w:rPr>
          <w:t>https://www.ns.vi.sud.rs/files/Godišnji%20raspored%20poslova%20za%202026.%20godinu.pdf</w:t>
        </w:r>
      </w:hyperlink>
      <w:r>
        <w:t xml:space="preserve">, page 7. </w:t>
      </w:r>
    </w:p>
  </w:footnote>
  <w:footnote w:id="6">
    <w:p w14:paraId="3098F918" w14:textId="79CC261C" w:rsidR="00FE32AE" w:rsidRDefault="00FE32AE">
      <w:pPr>
        <w:pStyle w:val="FootnoteText"/>
      </w:pPr>
      <w:r>
        <w:rPr>
          <w:rStyle w:val="FootnoteReference"/>
        </w:rPr>
        <w:footnoteRef/>
      </w:r>
      <w:r>
        <w:t xml:space="preserve"> </w:t>
      </w:r>
      <w:hyperlink r:id="rId6" w:history="1">
        <w:r w:rsidRPr="00C75EDD">
          <w:rPr>
            <w:rStyle w:val="Hyperlink"/>
          </w:rPr>
          <w:t>https://www.ni.vi.sud.rs/files/GODISNJI%20RASPORED%202026%201.pdf</w:t>
        </w:r>
      </w:hyperlink>
      <w:r>
        <w:t>, page 6.</w:t>
      </w:r>
    </w:p>
  </w:footnote>
  <w:footnote w:id="7">
    <w:p w14:paraId="26B2CE46" w14:textId="77777777" w:rsidR="00AE5B06" w:rsidRDefault="00AE5B06" w:rsidP="00AE5B06">
      <w:pPr>
        <w:pStyle w:val="FootnoteText"/>
      </w:pPr>
      <w:r>
        <w:rPr>
          <w:rStyle w:val="FootnoteReference"/>
        </w:rPr>
        <w:footnoteRef/>
      </w:r>
      <w:r>
        <w:t xml:space="preserve"> </w:t>
      </w:r>
      <w:hyperlink r:id="rId7" w:history="1">
        <w:r w:rsidRPr="00C75EDD">
          <w:rPr>
            <w:rStyle w:val="Hyperlink"/>
          </w:rPr>
          <w:t>https://www.kv.vi.sud.rs/files/Godisnji2025.pdf</w:t>
        </w:r>
      </w:hyperlink>
      <w:r>
        <w:t>, page 12.</w:t>
      </w:r>
    </w:p>
  </w:footnote>
  <w:footnote w:id="8">
    <w:p w14:paraId="6DC12EE1" w14:textId="4D6B5C3A" w:rsidR="00FE32AE" w:rsidRDefault="00FE32AE">
      <w:pPr>
        <w:pStyle w:val="FootnoteText"/>
      </w:pPr>
      <w:r>
        <w:rPr>
          <w:rStyle w:val="FootnoteReference"/>
        </w:rPr>
        <w:footnoteRef/>
      </w:r>
      <w:r>
        <w:t xml:space="preserve"> </w:t>
      </w:r>
      <w:hyperlink r:id="rId8" w:history="1">
        <w:r w:rsidRPr="00C75EDD">
          <w:rPr>
            <w:rStyle w:val="Hyperlink"/>
          </w:rPr>
          <w:t>https://www.kv.vi.sud.rs/files/Su%20I%202-36-24.pdf</w:t>
        </w:r>
      </w:hyperlink>
      <w:r>
        <w:t>, page 1.</w:t>
      </w:r>
    </w:p>
  </w:footnote>
  <w:footnote w:id="9">
    <w:p w14:paraId="44748652" w14:textId="77777777" w:rsidR="000717F5" w:rsidRDefault="000717F5" w:rsidP="000717F5">
      <w:pPr>
        <w:pStyle w:val="FootnoteText"/>
      </w:pPr>
      <w:r>
        <w:rPr>
          <w:rStyle w:val="FootnoteReference"/>
        </w:rPr>
        <w:footnoteRef/>
      </w:r>
      <w:r>
        <w:t xml:space="preserve"> </w:t>
      </w:r>
      <w:hyperlink r:id="rId9" w:history="1">
        <w:r w:rsidRPr="00C75EDD">
          <w:rPr>
            <w:rStyle w:val="Hyperlink"/>
          </w:rPr>
          <w:t>https://vst.jt.rs/wp-content/uploads/2024/09/Odluka-o-broju-javnih-tuzilaca-u-javnim-tuzilastvima.pdf</w:t>
        </w:r>
      </w:hyperlink>
      <w:r>
        <w:t xml:space="preserve"> </w:t>
      </w:r>
    </w:p>
  </w:footnote>
  <w:footnote w:id="10">
    <w:p w14:paraId="1E243839" w14:textId="5FF3EC0C" w:rsidR="000717F5" w:rsidRDefault="000717F5">
      <w:pPr>
        <w:pStyle w:val="FootnoteText"/>
      </w:pPr>
      <w:r>
        <w:rPr>
          <w:rStyle w:val="FootnoteReference"/>
        </w:rPr>
        <w:footnoteRef/>
      </w:r>
      <w:r>
        <w:t xml:space="preserve"> </w:t>
      </w:r>
      <w:hyperlink r:id="rId10" w:history="1">
        <w:r w:rsidRPr="00C75EDD">
          <w:rPr>
            <w:rStyle w:val="Hyperlink"/>
          </w:rPr>
          <w:t>https://vst.jt.rs/1206-2/</w:t>
        </w:r>
      </w:hyperlink>
      <w:r>
        <w:t xml:space="preserve"> </w:t>
      </w:r>
    </w:p>
  </w:footnote>
  <w:footnote w:id="11">
    <w:p w14:paraId="11C6BC17" w14:textId="77777777" w:rsidR="0019492F" w:rsidRDefault="0019492F" w:rsidP="0019492F">
      <w:pPr>
        <w:pStyle w:val="FootnoteText"/>
      </w:pPr>
      <w:r>
        <w:rPr>
          <w:rStyle w:val="FootnoteReference"/>
        </w:rPr>
        <w:footnoteRef/>
      </w:r>
      <w:r>
        <w:t xml:space="preserve"> </w:t>
      </w:r>
      <w:hyperlink r:id="rId11" w:history="1">
        <w:proofErr w:type="spellStart"/>
        <w:r w:rsidRPr="00C30A4B">
          <w:rPr>
            <w:rStyle w:val="Hyperlink"/>
            <w:lang w:val="en-GB"/>
          </w:rPr>
          <w:t>Годишњи</w:t>
        </w:r>
        <w:proofErr w:type="spellEnd"/>
        <w:r w:rsidRPr="00C30A4B">
          <w:rPr>
            <w:rStyle w:val="Hyperlink"/>
            <w:lang w:val="en-GB"/>
          </w:rPr>
          <w:t xml:space="preserve"> </w:t>
        </w:r>
        <w:proofErr w:type="spellStart"/>
        <w:r w:rsidRPr="00C30A4B">
          <w:rPr>
            <w:rStyle w:val="Hyperlink"/>
            <w:lang w:val="en-GB"/>
          </w:rPr>
          <w:t>извештај</w:t>
        </w:r>
        <w:proofErr w:type="spellEnd"/>
        <w:r w:rsidRPr="00C30A4B">
          <w:rPr>
            <w:rStyle w:val="Hyperlink"/>
            <w:lang w:val="en-GB"/>
          </w:rPr>
          <w:t xml:space="preserve"> о </w:t>
        </w:r>
        <w:proofErr w:type="spellStart"/>
        <w:r w:rsidRPr="00C30A4B">
          <w:rPr>
            <w:rStyle w:val="Hyperlink"/>
            <w:lang w:val="en-GB"/>
          </w:rPr>
          <w:t>раду</w:t>
        </w:r>
        <w:proofErr w:type="spellEnd"/>
        <w:r w:rsidRPr="00C30A4B">
          <w:rPr>
            <w:rStyle w:val="Hyperlink"/>
            <w:lang w:val="en-GB"/>
          </w:rPr>
          <w:t xml:space="preserve"> </w:t>
        </w:r>
        <w:proofErr w:type="spellStart"/>
        <w:r w:rsidRPr="00C30A4B">
          <w:rPr>
            <w:rStyle w:val="Hyperlink"/>
            <w:lang w:val="en-GB"/>
          </w:rPr>
          <w:t>јавних</w:t>
        </w:r>
        <w:proofErr w:type="spellEnd"/>
        <w:r w:rsidRPr="00C30A4B">
          <w:rPr>
            <w:rStyle w:val="Hyperlink"/>
            <w:lang w:val="en-GB"/>
          </w:rPr>
          <w:t xml:space="preserve"> </w:t>
        </w:r>
        <w:proofErr w:type="spellStart"/>
        <w:r w:rsidRPr="00C30A4B">
          <w:rPr>
            <w:rStyle w:val="Hyperlink"/>
            <w:lang w:val="en-GB"/>
          </w:rPr>
          <w:t>тужилаштава</w:t>
        </w:r>
        <w:proofErr w:type="spellEnd"/>
        <w:r w:rsidRPr="00C30A4B">
          <w:rPr>
            <w:rStyle w:val="Hyperlink"/>
            <w:lang w:val="en-GB"/>
          </w:rPr>
          <w:t xml:space="preserve"> | </w:t>
        </w:r>
        <w:proofErr w:type="spellStart"/>
        <w:r w:rsidRPr="00C30A4B">
          <w:rPr>
            <w:rStyle w:val="Hyperlink"/>
            <w:lang w:val="en-GB"/>
          </w:rPr>
          <w:t>Информације</w:t>
        </w:r>
        <w:proofErr w:type="spellEnd"/>
        <w:r w:rsidRPr="00C30A4B">
          <w:rPr>
            <w:rStyle w:val="Hyperlink"/>
            <w:lang w:val="en-GB"/>
          </w:rPr>
          <w:t xml:space="preserve"> о </w:t>
        </w:r>
        <w:proofErr w:type="spellStart"/>
        <w:r w:rsidRPr="00C30A4B">
          <w:rPr>
            <w:rStyle w:val="Hyperlink"/>
            <w:lang w:val="en-GB"/>
          </w:rPr>
          <w:t>раду</w:t>
        </w:r>
        <w:proofErr w:type="spellEnd"/>
        <w:r w:rsidRPr="00C30A4B">
          <w:rPr>
            <w:rStyle w:val="Hyperlink"/>
            <w:lang w:val="en-GB"/>
          </w:rPr>
          <w:t xml:space="preserve"> | RJT</w:t>
        </w:r>
      </w:hyperlink>
    </w:p>
  </w:footnote>
  <w:footnote w:id="12">
    <w:p w14:paraId="65ADA662" w14:textId="77777777" w:rsidR="0019492F" w:rsidRDefault="0019492F" w:rsidP="0019492F">
      <w:pPr>
        <w:pStyle w:val="FootnoteText"/>
      </w:pPr>
      <w:r>
        <w:rPr>
          <w:rStyle w:val="FootnoteReference"/>
        </w:rPr>
        <w:footnoteRef/>
      </w:r>
      <w:r>
        <w:t xml:space="preserve"> </w:t>
      </w:r>
      <w:hyperlink r:id="rId12" w:history="1">
        <w:r w:rsidRPr="00C75EDD">
          <w:rPr>
            <w:rStyle w:val="Hyperlink"/>
          </w:rPr>
          <w:t>https://tok.jt.rs/html_tok/pocetna/informator_cir.pdf</w:t>
        </w:r>
      </w:hyperlink>
      <w:r>
        <w:t xml:space="preserve"> </w:t>
      </w:r>
    </w:p>
  </w:footnote>
  <w:footnote w:id="13">
    <w:p w14:paraId="24F42BC6" w14:textId="77777777" w:rsidR="0019492F" w:rsidRPr="00541FF4" w:rsidRDefault="0019492F" w:rsidP="0019492F">
      <w:pPr>
        <w:pStyle w:val="FootnoteText"/>
        <w:rPr>
          <w:lang w:val="sr-Cyrl-RS"/>
        </w:rPr>
      </w:pPr>
      <w:r>
        <w:rPr>
          <w:rStyle w:val="FootnoteReference"/>
        </w:rPr>
        <w:footnoteRef/>
      </w:r>
      <w:r>
        <w:t xml:space="preserve"> </w:t>
      </w:r>
      <w:hyperlink r:id="rId13" w:history="1">
        <w:r w:rsidRPr="00C75EDD">
          <w:rPr>
            <w:rStyle w:val="Hyperlink"/>
          </w:rPr>
          <w:t>https://informator.poverenik.rs/informator?org=vNWkyhfW9Fe8SNxX8&amp;ch=B7e85r4rMtMRMyzb7&amp;code=</w:t>
        </w:r>
      </w:hyperlink>
      <w:r>
        <w:rPr>
          <w:lang w:val="sr-Cyrl-RS"/>
        </w:rPr>
        <w:t xml:space="preserve"> </w:t>
      </w:r>
    </w:p>
  </w:footnote>
  <w:footnote w:id="14">
    <w:p w14:paraId="676F089D" w14:textId="77777777" w:rsidR="0019492F" w:rsidRPr="00541FF4" w:rsidRDefault="0019492F" w:rsidP="0019492F">
      <w:pPr>
        <w:pStyle w:val="FootnoteText"/>
        <w:rPr>
          <w:lang w:val="sr-Cyrl-RS"/>
        </w:rPr>
      </w:pPr>
      <w:r>
        <w:rPr>
          <w:rStyle w:val="FootnoteReference"/>
        </w:rPr>
        <w:footnoteRef/>
      </w:r>
      <w:r w:rsidRPr="00541FF4">
        <w:rPr>
          <w:lang w:val="sr-Cyrl-RS"/>
        </w:rPr>
        <w:t xml:space="preserve"> </w:t>
      </w:r>
      <w:hyperlink r:id="rId14" w:history="1">
        <w:r w:rsidRPr="00C75EDD">
          <w:rPr>
            <w:rStyle w:val="Hyperlink"/>
          </w:rPr>
          <w:t>https</w:t>
        </w:r>
        <w:r w:rsidRPr="00C75EDD">
          <w:rPr>
            <w:rStyle w:val="Hyperlink"/>
            <w:lang w:val="sr-Cyrl-RS"/>
          </w:rPr>
          <w:t>://</w:t>
        </w:r>
        <w:proofErr w:type="spellStart"/>
        <w:r w:rsidRPr="00C75EDD">
          <w:rPr>
            <w:rStyle w:val="Hyperlink"/>
          </w:rPr>
          <w:t>informator</w:t>
        </w:r>
        <w:proofErr w:type="spellEnd"/>
        <w:r w:rsidRPr="00C75EDD">
          <w:rPr>
            <w:rStyle w:val="Hyperlink"/>
            <w:lang w:val="sr-Cyrl-RS"/>
          </w:rPr>
          <w:t>.</w:t>
        </w:r>
        <w:proofErr w:type="spellStart"/>
        <w:r w:rsidRPr="00C75EDD">
          <w:rPr>
            <w:rStyle w:val="Hyperlink"/>
          </w:rPr>
          <w:t>poverenik</w:t>
        </w:r>
        <w:proofErr w:type="spellEnd"/>
        <w:r w:rsidRPr="00C75EDD">
          <w:rPr>
            <w:rStyle w:val="Hyperlink"/>
            <w:lang w:val="sr-Cyrl-RS"/>
          </w:rPr>
          <w:t>.</w:t>
        </w:r>
        <w:proofErr w:type="spellStart"/>
        <w:r w:rsidRPr="00C75EDD">
          <w:rPr>
            <w:rStyle w:val="Hyperlink"/>
          </w:rPr>
          <w:t>rs</w:t>
        </w:r>
        <w:proofErr w:type="spellEnd"/>
        <w:r w:rsidRPr="00C75EDD">
          <w:rPr>
            <w:rStyle w:val="Hyperlink"/>
            <w:lang w:val="sr-Cyrl-RS"/>
          </w:rPr>
          <w:t>/</w:t>
        </w:r>
        <w:proofErr w:type="spellStart"/>
        <w:r w:rsidRPr="00C75EDD">
          <w:rPr>
            <w:rStyle w:val="Hyperlink"/>
          </w:rPr>
          <w:t>informator</w:t>
        </w:r>
        <w:proofErr w:type="spellEnd"/>
        <w:r w:rsidRPr="00C75EDD">
          <w:rPr>
            <w:rStyle w:val="Hyperlink"/>
            <w:lang w:val="sr-Cyrl-RS"/>
          </w:rPr>
          <w:t>?</w:t>
        </w:r>
        <w:r w:rsidRPr="00C75EDD">
          <w:rPr>
            <w:rStyle w:val="Hyperlink"/>
          </w:rPr>
          <w:t>org</w:t>
        </w:r>
        <w:r w:rsidRPr="00C75EDD">
          <w:rPr>
            <w:rStyle w:val="Hyperlink"/>
            <w:lang w:val="sr-Cyrl-RS"/>
          </w:rPr>
          <w:t>=</w:t>
        </w:r>
        <w:proofErr w:type="spellStart"/>
        <w:r w:rsidRPr="00C75EDD">
          <w:rPr>
            <w:rStyle w:val="Hyperlink"/>
          </w:rPr>
          <w:t>TEKpsq</w:t>
        </w:r>
        <w:proofErr w:type="spellEnd"/>
        <w:r w:rsidRPr="00C75EDD">
          <w:rPr>
            <w:rStyle w:val="Hyperlink"/>
            <w:lang w:val="sr-Cyrl-RS"/>
          </w:rPr>
          <w:t>2</w:t>
        </w:r>
        <w:proofErr w:type="spellStart"/>
        <w:r w:rsidRPr="00C75EDD">
          <w:rPr>
            <w:rStyle w:val="Hyperlink"/>
          </w:rPr>
          <w:t>CscruX</w:t>
        </w:r>
        <w:proofErr w:type="spellEnd"/>
        <w:r w:rsidRPr="00C75EDD">
          <w:rPr>
            <w:rStyle w:val="Hyperlink"/>
            <w:lang w:val="sr-Cyrl-RS"/>
          </w:rPr>
          <w:t>7</w:t>
        </w:r>
        <w:proofErr w:type="spellStart"/>
        <w:r w:rsidRPr="00C75EDD">
          <w:rPr>
            <w:rStyle w:val="Hyperlink"/>
          </w:rPr>
          <w:t>kRu</w:t>
        </w:r>
        <w:proofErr w:type="spellEnd"/>
        <w:r w:rsidRPr="00C75EDD">
          <w:rPr>
            <w:rStyle w:val="Hyperlink"/>
            <w:lang w:val="sr-Cyrl-RS"/>
          </w:rPr>
          <w:t>&amp;</w:t>
        </w:r>
        <w:proofErr w:type="spellStart"/>
        <w:r w:rsidRPr="00C75EDD">
          <w:rPr>
            <w:rStyle w:val="Hyperlink"/>
          </w:rPr>
          <w:t>ch</w:t>
        </w:r>
        <w:proofErr w:type="spellEnd"/>
        <w:r w:rsidRPr="00C75EDD">
          <w:rPr>
            <w:rStyle w:val="Hyperlink"/>
            <w:lang w:val="sr-Cyrl-RS"/>
          </w:rPr>
          <w:t>=</w:t>
        </w:r>
        <w:r w:rsidRPr="00C75EDD">
          <w:rPr>
            <w:rStyle w:val="Hyperlink"/>
          </w:rPr>
          <w:t>B</w:t>
        </w:r>
        <w:r w:rsidRPr="00C75EDD">
          <w:rPr>
            <w:rStyle w:val="Hyperlink"/>
            <w:lang w:val="sr-Cyrl-RS"/>
          </w:rPr>
          <w:t>7</w:t>
        </w:r>
        <w:r w:rsidRPr="00C75EDD">
          <w:rPr>
            <w:rStyle w:val="Hyperlink"/>
          </w:rPr>
          <w:t>e</w:t>
        </w:r>
        <w:r w:rsidRPr="00C75EDD">
          <w:rPr>
            <w:rStyle w:val="Hyperlink"/>
            <w:lang w:val="sr-Cyrl-RS"/>
          </w:rPr>
          <w:t>85</w:t>
        </w:r>
        <w:r w:rsidRPr="00C75EDD">
          <w:rPr>
            <w:rStyle w:val="Hyperlink"/>
          </w:rPr>
          <w:t>r</w:t>
        </w:r>
        <w:r w:rsidRPr="00C75EDD">
          <w:rPr>
            <w:rStyle w:val="Hyperlink"/>
            <w:lang w:val="sr-Cyrl-RS"/>
          </w:rPr>
          <w:t>4</w:t>
        </w:r>
        <w:proofErr w:type="spellStart"/>
        <w:r w:rsidRPr="00C75EDD">
          <w:rPr>
            <w:rStyle w:val="Hyperlink"/>
          </w:rPr>
          <w:t>rMtMRMyzb</w:t>
        </w:r>
        <w:proofErr w:type="spellEnd"/>
        <w:r w:rsidRPr="00C75EDD">
          <w:rPr>
            <w:rStyle w:val="Hyperlink"/>
            <w:lang w:val="sr-Cyrl-RS"/>
          </w:rPr>
          <w:t>7&amp;</w:t>
        </w:r>
        <w:r w:rsidRPr="00C75EDD">
          <w:rPr>
            <w:rStyle w:val="Hyperlink"/>
          </w:rPr>
          <w:t>code</w:t>
        </w:r>
        <w:r w:rsidRPr="00C75EDD">
          <w:rPr>
            <w:rStyle w:val="Hyperlink"/>
            <w:lang w:val="sr-Cyrl-RS"/>
          </w:rPr>
          <w:t>=</w:t>
        </w:r>
      </w:hyperlink>
      <w:r>
        <w:rPr>
          <w:lang w:val="sr-Cyrl-RS"/>
        </w:rPr>
        <w:t xml:space="preserve"> </w:t>
      </w:r>
    </w:p>
  </w:footnote>
  <w:footnote w:id="15">
    <w:p w14:paraId="0B5DA342" w14:textId="77777777" w:rsidR="0019492F" w:rsidRPr="00C30A4B" w:rsidRDefault="0019492F" w:rsidP="0019492F">
      <w:pPr>
        <w:pStyle w:val="FootnoteText"/>
        <w:rPr>
          <w:lang w:val="sr-Cyrl-RS"/>
        </w:rPr>
      </w:pPr>
      <w:r>
        <w:rPr>
          <w:rStyle w:val="FootnoteReference"/>
        </w:rPr>
        <w:footnoteRef/>
      </w:r>
      <w:r>
        <w:rPr>
          <w:rStyle w:val="FootnoteReference"/>
        </w:rPr>
        <w:footnoteRef/>
      </w:r>
      <w:r w:rsidRPr="00C30A4B">
        <w:rPr>
          <w:lang w:val="sr-Cyrl-RS"/>
        </w:rPr>
        <w:t xml:space="preserve"> </w:t>
      </w:r>
      <w:hyperlink r:id="rId15" w:history="1">
        <w:r w:rsidRPr="00C75EDD">
          <w:rPr>
            <w:rStyle w:val="Hyperlink"/>
          </w:rPr>
          <w:t>https</w:t>
        </w:r>
        <w:r w:rsidRPr="00C75EDD">
          <w:rPr>
            <w:rStyle w:val="Hyperlink"/>
            <w:lang w:val="sr-Cyrl-RS"/>
          </w:rPr>
          <w:t>://</w:t>
        </w:r>
        <w:proofErr w:type="spellStart"/>
        <w:r w:rsidRPr="00C75EDD">
          <w:rPr>
            <w:rStyle w:val="Hyperlink"/>
          </w:rPr>
          <w:t>informator</w:t>
        </w:r>
        <w:proofErr w:type="spellEnd"/>
        <w:r w:rsidRPr="00C75EDD">
          <w:rPr>
            <w:rStyle w:val="Hyperlink"/>
            <w:lang w:val="sr-Cyrl-RS"/>
          </w:rPr>
          <w:t>.</w:t>
        </w:r>
        <w:proofErr w:type="spellStart"/>
        <w:r w:rsidRPr="00C75EDD">
          <w:rPr>
            <w:rStyle w:val="Hyperlink"/>
          </w:rPr>
          <w:t>poverenik</w:t>
        </w:r>
        <w:proofErr w:type="spellEnd"/>
        <w:r w:rsidRPr="00C75EDD">
          <w:rPr>
            <w:rStyle w:val="Hyperlink"/>
            <w:lang w:val="sr-Cyrl-RS"/>
          </w:rPr>
          <w:t>.</w:t>
        </w:r>
        <w:proofErr w:type="spellStart"/>
        <w:r w:rsidRPr="00C75EDD">
          <w:rPr>
            <w:rStyle w:val="Hyperlink"/>
          </w:rPr>
          <w:t>rs</w:t>
        </w:r>
        <w:proofErr w:type="spellEnd"/>
        <w:r w:rsidRPr="00C75EDD">
          <w:rPr>
            <w:rStyle w:val="Hyperlink"/>
            <w:lang w:val="sr-Cyrl-RS"/>
          </w:rPr>
          <w:t>/</w:t>
        </w:r>
        <w:proofErr w:type="spellStart"/>
        <w:r w:rsidRPr="00C75EDD">
          <w:rPr>
            <w:rStyle w:val="Hyperlink"/>
          </w:rPr>
          <w:t>informator</w:t>
        </w:r>
        <w:proofErr w:type="spellEnd"/>
        <w:r w:rsidRPr="00C75EDD">
          <w:rPr>
            <w:rStyle w:val="Hyperlink"/>
            <w:lang w:val="sr-Cyrl-RS"/>
          </w:rPr>
          <w:t>?</w:t>
        </w:r>
        <w:r w:rsidRPr="00C75EDD">
          <w:rPr>
            <w:rStyle w:val="Hyperlink"/>
          </w:rPr>
          <w:t>org</w:t>
        </w:r>
        <w:r w:rsidRPr="00C75EDD">
          <w:rPr>
            <w:rStyle w:val="Hyperlink"/>
            <w:lang w:val="sr-Cyrl-RS"/>
          </w:rPr>
          <w:t>=</w:t>
        </w:r>
        <w:proofErr w:type="spellStart"/>
        <w:r w:rsidRPr="00C75EDD">
          <w:rPr>
            <w:rStyle w:val="Hyperlink"/>
          </w:rPr>
          <w:t>scgREq</w:t>
        </w:r>
        <w:proofErr w:type="spellEnd"/>
        <w:r w:rsidRPr="00C75EDD">
          <w:rPr>
            <w:rStyle w:val="Hyperlink"/>
            <w:lang w:val="sr-Cyrl-RS"/>
          </w:rPr>
          <w:t>2</w:t>
        </w:r>
        <w:proofErr w:type="spellStart"/>
        <w:r w:rsidRPr="00C75EDD">
          <w:rPr>
            <w:rStyle w:val="Hyperlink"/>
          </w:rPr>
          <w:t>vFPDmqWqzP</w:t>
        </w:r>
        <w:proofErr w:type="spellEnd"/>
        <w:r w:rsidRPr="00C75EDD">
          <w:rPr>
            <w:rStyle w:val="Hyperlink"/>
            <w:lang w:val="sr-Cyrl-RS"/>
          </w:rPr>
          <w:t>&amp;</w:t>
        </w:r>
        <w:proofErr w:type="spellStart"/>
        <w:r w:rsidRPr="00C75EDD">
          <w:rPr>
            <w:rStyle w:val="Hyperlink"/>
          </w:rPr>
          <w:t>ch</w:t>
        </w:r>
        <w:proofErr w:type="spellEnd"/>
        <w:r w:rsidRPr="00C75EDD">
          <w:rPr>
            <w:rStyle w:val="Hyperlink"/>
            <w:lang w:val="sr-Cyrl-RS"/>
          </w:rPr>
          <w:t>=</w:t>
        </w:r>
        <w:r w:rsidRPr="00C75EDD">
          <w:rPr>
            <w:rStyle w:val="Hyperlink"/>
          </w:rPr>
          <w:t>B</w:t>
        </w:r>
        <w:r w:rsidRPr="00C75EDD">
          <w:rPr>
            <w:rStyle w:val="Hyperlink"/>
            <w:lang w:val="sr-Cyrl-RS"/>
          </w:rPr>
          <w:t>7</w:t>
        </w:r>
        <w:r w:rsidRPr="00C75EDD">
          <w:rPr>
            <w:rStyle w:val="Hyperlink"/>
          </w:rPr>
          <w:t>e</w:t>
        </w:r>
        <w:r w:rsidRPr="00C75EDD">
          <w:rPr>
            <w:rStyle w:val="Hyperlink"/>
            <w:lang w:val="sr-Cyrl-RS"/>
          </w:rPr>
          <w:t>85</w:t>
        </w:r>
        <w:r w:rsidRPr="00C75EDD">
          <w:rPr>
            <w:rStyle w:val="Hyperlink"/>
          </w:rPr>
          <w:t>r</w:t>
        </w:r>
        <w:r w:rsidRPr="00C75EDD">
          <w:rPr>
            <w:rStyle w:val="Hyperlink"/>
            <w:lang w:val="sr-Cyrl-RS"/>
          </w:rPr>
          <w:t>4</w:t>
        </w:r>
        <w:proofErr w:type="spellStart"/>
        <w:r w:rsidRPr="00C75EDD">
          <w:rPr>
            <w:rStyle w:val="Hyperlink"/>
          </w:rPr>
          <w:t>rMtMRMyzb</w:t>
        </w:r>
        <w:proofErr w:type="spellEnd"/>
        <w:r w:rsidRPr="00C75EDD">
          <w:rPr>
            <w:rStyle w:val="Hyperlink"/>
            <w:lang w:val="sr-Cyrl-RS"/>
          </w:rPr>
          <w:t>7&amp;</w:t>
        </w:r>
        <w:r w:rsidRPr="00C75EDD">
          <w:rPr>
            <w:rStyle w:val="Hyperlink"/>
          </w:rPr>
          <w:t>code</w:t>
        </w:r>
        <w:r w:rsidRPr="00C75EDD">
          <w:rPr>
            <w:rStyle w:val="Hyperlink"/>
            <w:lang w:val="sr-Cyrl-RS"/>
          </w:rPr>
          <w:t>=</w:t>
        </w:r>
      </w:hyperlink>
      <w:r>
        <w:rPr>
          <w:lang w:val="sr-Cyrl-RS"/>
        </w:rPr>
        <w:t xml:space="preserve"> </w:t>
      </w:r>
    </w:p>
  </w:footnote>
  <w:footnote w:id="16">
    <w:p w14:paraId="61DC220F" w14:textId="77777777" w:rsidR="0019492F" w:rsidRPr="00C30A4B" w:rsidRDefault="0019492F" w:rsidP="0019492F">
      <w:pPr>
        <w:pStyle w:val="FootnoteText"/>
        <w:rPr>
          <w:lang w:val="sr-Cyrl-RS"/>
        </w:rPr>
      </w:pPr>
      <w:r>
        <w:rPr>
          <w:rStyle w:val="FootnoteReference"/>
        </w:rPr>
        <w:footnoteRef/>
      </w:r>
      <w:r w:rsidRPr="00C30A4B">
        <w:rPr>
          <w:lang w:val="sr-Cyrl-RS"/>
        </w:rPr>
        <w:t xml:space="preserve"> </w:t>
      </w:r>
      <w:hyperlink r:id="rId16" w:history="1">
        <w:r w:rsidRPr="00C75EDD">
          <w:rPr>
            <w:rStyle w:val="Hyperlink"/>
          </w:rPr>
          <w:t>https</w:t>
        </w:r>
        <w:r w:rsidRPr="00C75EDD">
          <w:rPr>
            <w:rStyle w:val="Hyperlink"/>
            <w:lang w:val="sr-Cyrl-RS"/>
          </w:rPr>
          <w:t>://</w:t>
        </w:r>
        <w:proofErr w:type="spellStart"/>
        <w:r w:rsidRPr="00C75EDD">
          <w:rPr>
            <w:rStyle w:val="Hyperlink"/>
          </w:rPr>
          <w:t>informator</w:t>
        </w:r>
        <w:proofErr w:type="spellEnd"/>
        <w:r w:rsidRPr="00C75EDD">
          <w:rPr>
            <w:rStyle w:val="Hyperlink"/>
            <w:lang w:val="sr-Cyrl-RS"/>
          </w:rPr>
          <w:t>.</w:t>
        </w:r>
        <w:proofErr w:type="spellStart"/>
        <w:r w:rsidRPr="00C75EDD">
          <w:rPr>
            <w:rStyle w:val="Hyperlink"/>
          </w:rPr>
          <w:t>poverenik</w:t>
        </w:r>
        <w:proofErr w:type="spellEnd"/>
        <w:r w:rsidRPr="00C75EDD">
          <w:rPr>
            <w:rStyle w:val="Hyperlink"/>
            <w:lang w:val="sr-Cyrl-RS"/>
          </w:rPr>
          <w:t>.</w:t>
        </w:r>
        <w:proofErr w:type="spellStart"/>
        <w:r w:rsidRPr="00C75EDD">
          <w:rPr>
            <w:rStyle w:val="Hyperlink"/>
          </w:rPr>
          <w:t>rs</w:t>
        </w:r>
        <w:proofErr w:type="spellEnd"/>
        <w:r w:rsidRPr="00C75EDD">
          <w:rPr>
            <w:rStyle w:val="Hyperlink"/>
            <w:lang w:val="sr-Cyrl-RS"/>
          </w:rPr>
          <w:t>/</w:t>
        </w:r>
        <w:proofErr w:type="spellStart"/>
        <w:r w:rsidRPr="00C75EDD">
          <w:rPr>
            <w:rStyle w:val="Hyperlink"/>
          </w:rPr>
          <w:t>informator</w:t>
        </w:r>
        <w:proofErr w:type="spellEnd"/>
        <w:r w:rsidRPr="00C75EDD">
          <w:rPr>
            <w:rStyle w:val="Hyperlink"/>
            <w:lang w:val="sr-Cyrl-RS"/>
          </w:rPr>
          <w:t>?</w:t>
        </w:r>
        <w:r w:rsidRPr="00C75EDD">
          <w:rPr>
            <w:rStyle w:val="Hyperlink"/>
          </w:rPr>
          <w:t>org</w:t>
        </w:r>
        <w:r w:rsidRPr="00C75EDD">
          <w:rPr>
            <w:rStyle w:val="Hyperlink"/>
            <w:lang w:val="sr-Cyrl-RS"/>
          </w:rPr>
          <w:t>=337</w:t>
        </w:r>
        <w:proofErr w:type="spellStart"/>
        <w:r w:rsidRPr="00C75EDD">
          <w:rPr>
            <w:rStyle w:val="Hyperlink"/>
          </w:rPr>
          <w:t>oQ</w:t>
        </w:r>
        <w:proofErr w:type="spellEnd"/>
        <w:r w:rsidRPr="00C75EDD">
          <w:rPr>
            <w:rStyle w:val="Hyperlink"/>
            <w:lang w:val="sr-Cyrl-RS"/>
          </w:rPr>
          <w:t>4</w:t>
        </w:r>
        <w:proofErr w:type="spellStart"/>
        <w:r w:rsidRPr="00C75EDD">
          <w:rPr>
            <w:rStyle w:val="Hyperlink"/>
          </w:rPr>
          <w:t>Ggkj</w:t>
        </w:r>
        <w:proofErr w:type="spellEnd"/>
        <w:r w:rsidRPr="00C75EDD">
          <w:rPr>
            <w:rStyle w:val="Hyperlink"/>
            <w:lang w:val="sr-Cyrl-RS"/>
          </w:rPr>
          <w:t>3</w:t>
        </w:r>
        <w:proofErr w:type="spellStart"/>
        <w:r w:rsidRPr="00C75EDD">
          <w:rPr>
            <w:rStyle w:val="Hyperlink"/>
          </w:rPr>
          <w:t>ntbrjY</w:t>
        </w:r>
        <w:proofErr w:type="spellEnd"/>
        <w:r w:rsidRPr="00C75EDD">
          <w:rPr>
            <w:rStyle w:val="Hyperlink"/>
            <w:lang w:val="sr-Cyrl-RS"/>
          </w:rPr>
          <w:t>&amp;</w:t>
        </w:r>
        <w:proofErr w:type="spellStart"/>
        <w:r w:rsidRPr="00C75EDD">
          <w:rPr>
            <w:rStyle w:val="Hyperlink"/>
          </w:rPr>
          <w:t>ch</w:t>
        </w:r>
        <w:proofErr w:type="spellEnd"/>
        <w:r w:rsidRPr="00C75EDD">
          <w:rPr>
            <w:rStyle w:val="Hyperlink"/>
            <w:lang w:val="sr-Cyrl-RS"/>
          </w:rPr>
          <w:t>=</w:t>
        </w:r>
        <w:r w:rsidRPr="00C75EDD">
          <w:rPr>
            <w:rStyle w:val="Hyperlink"/>
          </w:rPr>
          <w:t>B</w:t>
        </w:r>
        <w:r w:rsidRPr="00C75EDD">
          <w:rPr>
            <w:rStyle w:val="Hyperlink"/>
            <w:lang w:val="sr-Cyrl-RS"/>
          </w:rPr>
          <w:t>7</w:t>
        </w:r>
        <w:r w:rsidRPr="00C75EDD">
          <w:rPr>
            <w:rStyle w:val="Hyperlink"/>
          </w:rPr>
          <w:t>e</w:t>
        </w:r>
        <w:r w:rsidRPr="00C75EDD">
          <w:rPr>
            <w:rStyle w:val="Hyperlink"/>
            <w:lang w:val="sr-Cyrl-RS"/>
          </w:rPr>
          <w:t>85</w:t>
        </w:r>
        <w:r w:rsidRPr="00C75EDD">
          <w:rPr>
            <w:rStyle w:val="Hyperlink"/>
          </w:rPr>
          <w:t>r</w:t>
        </w:r>
        <w:r w:rsidRPr="00C75EDD">
          <w:rPr>
            <w:rStyle w:val="Hyperlink"/>
            <w:lang w:val="sr-Cyrl-RS"/>
          </w:rPr>
          <w:t>4</w:t>
        </w:r>
        <w:proofErr w:type="spellStart"/>
        <w:r w:rsidRPr="00C75EDD">
          <w:rPr>
            <w:rStyle w:val="Hyperlink"/>
          </w:rPr>
          <w:t>rMtMRMyzb</w:t>
        </w:r>
        <w:proofErr w:type="spellEnd"/>
        <w:r w:rsidRPr="00C75EDD">
          <w:rPr>
            <w:rStyle w:val="Hyperlink"/>
            <w:lang w:val="sr-Cyrl-RS"/>
          </w:rPr>
          <w:t>7&amp;</w:t>
        </w:r>
        <w:r w:rsidRPr="00C75EDD">
          <w:rPr>
            <w:rStyle w:val="Hyperlink"/>
          </w:rPr>
          <w:t>code</w:t>
        </w:r>
        <w:r w:rsidRPr="00C75EDD">
          <w:rPr>
            <w:rStyle w:val="Hyperlink"/>
            <w:lang w:val="sr-Cyrl-RS"/>
          </w:rPr>
          <w:t>=</w:t>
        </w:r>
      </w:hyperlink>
      <w:r>
        <w:rPr>
          <w:lang w:val="sr-Cyrl-RS"/>
        </w:rPr>
        <w:t xml:space="preserve"> </w:t>
      </w:r>
    </w:p>
  </w:footnote>
  <w:footnote w:id="17">
    <w:p w14:paraId="6956EBBB" w14:textId="44CE43E5" w:rsidR="0019492F" w:rsidRPr="0019492F" w:rsidRDefault="0019492F">
      <w:pPr>
        <w:pStyle w:val="FootnoteText"/>
        <w:rPr>
          <w:lang w:val="sr-Cyrl-RS"/>
        </w:rPr>
      </w:pPr>
      <w:r>
        <w:rPr>
          <w:rStyle w:val="FootnoteReference"/>
        </w:rPr>
        <w:footnoteRef/>
      </w:r>
      <w:r w:rsidRPr="0019492F">
        <w:rPr>
          <w:lang w:val="sr-Cyrl-RS"/>
        </w:rPr>
        <w:t xml:space="preserve"> </w:t>
      </w:r>
      <w:hyperlink r:id="rId17" w:history="1">
        <w:r w:rsidR="001C13A0" w:rsidRPr="00C75EDD">
          <w:rPr>
            <w:rStyle w:val="Hyperlink"/>
          </w:rPr>
          <w:t>https</w:t>
        </w:r>
        <w:r w:rsidR="001C13A0" w:rsidRPr="00C75EDD">
          <w:rPr>
            <w:rStyle w:val="Hyperlink"/>
            <w:lang w:val="sr-Cyrl-RS"/>
          </w:rPr>
          <w:t>://</w:t>
        </w:r>
        <w:r w:rsidR="001C13A0" w:rsidRPr="00C75EDD">
          <w:rPr>
            <w:rStyle w:val="Hyperlink"/>
          </w:rPr>
          <w:t>n</w:t>
        </w:r>
        <w:r w:rsidR="001C13A0" w:rsidRPr="00C75EDD">
          <w:rPr>
            <w:rStyle w:val="Hyperlink"/>
            <w:lang w:val="sr-Cyrl-RS"/>
          </w:rPr>
          <w:t>1</w:t>
        </w:r>
        <w:r w:rsidR="001C13A0" w:rsidRPr="00C75EDD">
          <w:rPr>
            <w:rStyle w:val="Hyperlink"/>
          </w:rPr>
          <w:t>info</w:t>
        </w:r>
        <w:r w:rsidR="001C13A0" w:rsidRPr="00C75EDD">
          <w:rPr>
            <w:rStyle w:val="Hyperlink"/>
            <w:lang w:val="sr-Cyrl-RS"/>
          </w:rPr>
          <w:t>.</w:t>
        </w:r>
        <w:proofErr w:type="spellStart"/>
        <w:r w:rsidR="001C13A0" w:rsidRPr="00C75EDD">
          <w:rPr>
            <w:rStyle w:val="Hyperlink"/>
          </w:rPr>
          <w:t>rs</w:t>
        </w:r>
        <w:proofErr w:type="spellEnd"/>
        <w:r w:rsidR="001C13A0" w:rsidRPr="00C75EDD">
          <w:rPr>
            <w:rStyle w:val="Hyperlink"/>
            <w:lang w:val="sr-Cyrl-RS"/>
          </w:rPr>
          <w:t>/</w:t>
        </w:r>
        <w:proofErr w:type="spellStart"/>
        <w:r w:rsidR="001C13A0" w:rsidRPr="00C75EDD">
          <w:rPr>
            <w:rStyle w:val="Hyperlink"/>
          </w:rPr>
          <w:t>vesti</w:t>
        </w:r>
        <w:proofErr w:type="spellEnd"/>
        <w:r w:rsidR="001C13A0" w:rsidRPr="00C75EDD">
          <w:rPr>
            <w:rStyle w:val="Hyperlink"/>
            <w:lang w:val="sr-Cyrl-RS"/>
          </w:rPr>
          <w:t>/</w:t>
        </w:r>
        <w:proofErr w:type="spellStart"/>
        <w:r w:rsidR="001C13A0" w:rsidRPr="00C75EDD">
          <w:rPr>
            <w:rStyle w:val="Hyperlink"/>
          </w:rPr>
          <w:t>osveta</w:t>
        </w:r>
        <w:proofErr w:type="spellEnd"/>
        <w:r w:rsidR="001C13A0" w:rsidRPr="00C75EDD">
          <w:rPr>
            <w:rStyle w:val="Hyperlink"/>
            <w:lang w:val="sr-Cyrl-RS"/>
          </w:rPr>
          <w:t>-</w:t>
        </w:r>
        <w:r w:rsidR="001C13A0" w:rsidRPr="00C75EDD">
          <w:rPr>
            <w:rStyle w:val="Hyperlink"/>
          </w:rPr>
          <w:t>vlasti</w:t>
        </w:r>
        <w:r w:rsidR="001C13A0" w:rsidRPr="00C75EDD">
          <w:rPr>
            <w:rStyle w:val="Hyperlink"/>
            <w:lang w:val="sr-Cyrl-RS"/>
          </w:rPr>
          <w:t>-</w:t>
        </w:r>
        <w:proofErr w:type="spellStart"/>
        <w:r w:rsidR="001C13A0" w:rsidRPr="00C75EDD">
          <w:rPr>
            <w:rStyle w:val="Hyperlink"/>
          </w:rPr>
          <w:t>tuziocima</w:t>
        </w:r>
        <w:proofErr w:type="spellEnd"/>
        <w:r w:rsidR="001C13A0" w:rsidRPr="00C75EDD">
          <w:rPr>
            <w:rStyle w:val="Hyperlink"/>
            <w:lang w:val="sr-Cyrl-RS"/>
          </w:rPr>
          <w:t>-</w:t>
        </w:r>
        <w:r w:rsidR="001C13A0" w:rsidRPr="00C75EDD">
          <w:rPr>
            <w:rStyle w:val="Hyperlink"/>
          </w:rPr>
          <w:t>za</w:t>
        </w:r>
        <w:r w:rsidR="001C13A0" w:rsidRPr="00C75EDD">
          <w:rPr>
            <w:rStyle w:val="Hyperlink"/>
            <w:lang w:val="sr-Cyrl-RS"/>
          </w:rPr>
          <w:t>-</w:t>
        </w:r>
        <w:proofErr w:type="spellStart"/>
        <w:r w:rsidR="001C13A0" w:rsidRPr="00C75EDD">
          <w:rPr>
            <w:rStyle w:val="Hyperlink"/>
          </w:rPr>
          <w:t>organizovani</w:t>
        </w:r>
        <w:proofErr w:type="spellEnd"/>
        <w:r w:rsidR="001C13A0" w:rsidRPr="00C75EDD">
          <w:rPr>
            <w:rStyle w:val="Hyperlink"/>
            <w:lang w:val="sr-Cyrl-RS"/>
          </w:rPr>
          <w:t>-</w:t>
        </w:r>
        <w:proofErr w:type="spellStart"/>
        <w:r w:rsidR="001C13A0" w:rsidRPr="00C75EDD">
          <w:rPr>
            <w:rStyle w:val="Hyperlink"/>
          </w:rPr>
          <w:t>kriminal</w:t>
        </w:r>
        <w:proofErr w:type="spellEnd"/>
        <w:r w:rsidR="001C13A0" w:rsidRPr="00C75EDD">
          <w:rPr>
            <w:rStyle w:val="Hyperlink"/>
            <w:lang w:val="sr-Cyrl-RS"/>
          </w:rPr>
          <w:t>-</w:t>
        </w:r>
        <w:proofErr w:type="spellStart"/>
        <w:r w:rsidR="001C13A0" w:rsidRPr="00C75EDD">
          <w:rPr>
            <w:rStyle w:val="Hyperlink"/>
          </w:rPr>
          <w:t>ireni</w:t>
        </w:r>
        <w:proofErr w:type="spellEnd"/>
        <w:r w:rsidR="001C13A0" w:rsidRPr="00C75EDD">
          <w:rPr>
            <w:rStyle w:val="Hyperlink"/>
            <w:lang w:val="sr-Cyrl-RS"/>
          </w:rPr>
          <w:t>-</w:t>
        </w:r>
        <w:proofErr w:type="spellStart"/>
        <w:r w:rsidR="001C13A0" w:rsidRPr="00C75EDD">
          <w:rPr>
            <w:rStyle w:val="Hyperlink"/>
          </w:rPr>
          <w:t>bjelos</w:t>
        </w:r>
        <w:proofErr w:type="spellEnd"/>
        <w:r w:rsidR="001C13A0" w:rsidRPr="00C75EDD">
          <w:rPr>
            <w:rStyle w:val="Hyperlink"/>
            <w:lang w:val="sr-Cyrl-RS"/>
          </w:rPr>
          <w:t>-</w:t>
        </w:r>
        <w:proofErr w:type="spellStart"/>
        <w:r w:rsidR="001C13A0" w:rsidRPr="00C75EDD">
          <w:rPr>
            <w:rStyle w:val="Hyperlink"/>
          </w:rPr>
          <w:t>i</w:t>
        </w:r>
        <w:proofErr w:type="spellEnd"/>
        <w:r w:rsidR="001C13A0" w:rsidRPr="00C75EDD">
          <w:rPr>
            <w:rStyle w:val="Hyperlink"/>
            <w:lang w:val="sr-Cyrl-RS"/>
          </w:rPr>
          <w:t>-</w:t>
        </w:r>
        <w:proofErr w:type="spellStart"/>
        <w:r w:rsidR="001C13A0" w:rsidRPr="00C75EDD">
          <w:rPr>
            <w:rStyle w:val="Hyperlink"/>
          </w:rPr>
          <w:t>aleksandru</w:t>
        </w:r>
        <w:proofErr w:type="spellEnd"/>
        <w:r w:rsidR="001C13A0" w:rsidRPr="00C75EDD">
          <w:rPr>
            <w:rStyle w:val="Hyperlink"/>
            <w:lang w:val="sr-Cyrl-RS"/>
          </w:rPr>
          <w:t>-</w:t>
        </w:r>
        <w:proofErr w:type="spellStart"/>
        <w:r w:rsidR="001C13A0" w:rsidRPr="00C75EDD">
          <w:rPr>
            <w:rStyle w:val="Hyperlink"/>
          </w:rPr>
          <w:t>isailovicu</w:t>
        </w:r>
        <w:proofErr w:type="spellEnd"/>
        <w:r w:rsidR="001C13A0" w:rsidRPr="00C75EDD">
          <w:rPr>
            <w:rStyle w:val="Hyperlink"/>
            <w:lang w:val="sr-Cyrl-RS"/>
          </w:rPr>
          <w:t>-</w:t>
        </w:r>
        <w:proofErr w:type="spellStart"/>
        <w:r w:rsidR="001C13A0" w:rsidRPr="00C75EDD">
          <w:rPr>
            <w:rStyle w:val="Hyperlink"/>
          </w:rPr>
          <w:t>odlaze</w:t>
        </w:r>
        <w:proofErr w:type="spellEnd"/>
        <w:r w:rsidR="001C13A0" w:rsidRPr="00C75EDD">
          <w:rPr>
            <w:rStyle w:val="Hyperlink"/>
            <w:lang w:val="sr-Cyrl-RS"/>
          </w:rPr>
          <w:t>-</w:t>
        </w:r>
        <w:proofErr w:type="spellStart"/>
        <w:r w:rsidR="001C13A0" w:rsidRPr="00C75EDD">
          <w:rPr>
            <w:rStyle w:val="Hyperlink"/>
          </w:rPr>
          <w:t>iz</w:t>
        </w:r>
        <w:proofErr w:type="spellEnd"/>
        <w:r w:rsidR="001C13A0" w:rsidRPr="00C75EDD">
          <w:rPr>
            <w:rStyle w:val="Hyperlink"/>
            <w:lang w:val="sr-Cyrl-RS"/>
          </w:rPr>
          <w:t>-</w:t>
        </w:r>
        <w:proofErr w:type="spellStart"/>
        <w:r w:rsidR="001C13A0" w:rsidRPr="00C75EDD">
          <w:rPr>
            <w:rStyle w:val="Hyperlink"/>
          </w:rPr>
          <w:t>tok</w:t>
        </w:r>
        <w:proofErr w:type="spellEnd"/>
        <w:r w:rsidR="001C13A0" w:rsidRPr="00C75EDD">
          <w:rPr>
            <w:rStyle w:val="Hyperlink"/>
            <w:lang w:val="sr-Cyrl-RS"/>
          </w:rPr>
          <w:t>-</w:t>
        </w:r>
        <w:r w:rsidR="001C13A0" w:rsidRPr="00C75EDD">
          <w:rPr>
            <w:rStyle w:val="Hyperlink"/>
          </w:rPr>
          <w:t>a</w:t>
        </w:r>
        <w:r w:rsidR="001C13A0" w:rsidRPr="00C75EDD">
          <w:rPr>
            <w:rStyle w:val="Hyperlink"/>
            <w:lang w:val="sr-Cyrl-RS"/>
          </w:rPr>
          <w:t>-</w:t>
        </w:r>
        <w:proofErr w:type="spellStart"/>
        <w:r w:rsidR="001C13A0" w:rsidRPr="00C75EDD">
          <w:rPr>
            <w:rStyle w:val="Hyperlink"/>
          </w:rPr>
          <w:t>vecina</w:t>
        </w:r>
        <w:proofErr w:type="spellEnd"/>
        <w:r w:rsidR="001C13A0" w:rsidRPr="00C75EDD">
          <w:rPr>
            <w:rStyle w:val="Hyperlink"/>
            <w:lang w:val="sr-Cyrl-RS"/>
          </w:rPr>
          <w:t>-</w:t>
        </w:r>
        <w:proofErr w:type="spellStart"/>
        <w:r w:rsidR="001C13A0" w:rsidRPr="00C75EDD">
          <w:rPr>
            <w:rStyle w:val="Hyperlink"/>
          </w:rPr>
          <w:t>upucenih</w:t>
        </w:r>
        <w:proofErr w:type="spellEnd"/>
        <w:r w:rsidR="001C13A0" w:rsidRPr="00C75EDD">
          <w:rPr>
            <w:rStyle w:val="Hyperlink"/>
            <w:lang w:val="sr-Cyrl-RS"/>
          </w:rPr>
          <w:t>-</w:t>
        </w:r>
        <w:proofErr w:type="spellStart"/>
        <w:r w:rsidR="001C13A0" w:rsidRPr="00C75EDD">
          <w:rPr>
            <w:rStyle w:val="Hyperlink"/>
          </w:rPr>
          <w:t>tuzilaca</w:t>
        </w:r>
        <w:proofErr w:type="spellEnd"/>
        <w:r w:rsidR="001C13A0" w:rsidRPr="00C75EDD">
          <w:rPr>
            <w:rStyle w:val="Hyperlink"/>
            <w:lang w:val="sr-Cyrl-RS"/>
          </w:rPr>
          <w:t>-</w:t>
        </w:r>
        <w:proofErr w:type="spellStart"/>
        <w:r w:rsidR="001C13A0" w:rsidRPr="00C75EDD">
          <w:rPr>
            <w:rStyle w:val="Hyperlink"/>
          </w:rPr>
          <w:t>ostaje</w:t>
        </w:r>
        <w:proofErr w:type="spellEnd"/>
        <w:r w:rsidR="001C13A0" w:rsidRPr="00C75EDD">
          <w:rPr>
            <w:rStyle w:val="Hyperlink"/>
            <w:lang w:val="sr-Cyrl-RS"/>
          </w:rPr>
          <w:t>-</w:t>
        </w:r>
        <w:proofErr w:type="spellStart"/>
        <w:r w:rsidR="001C13A0" w:rsidRPr="00C75EDD">
          <w:rPr>
            <w:rStyle w:val="Hyperlink"/>
          </w:rPr>
          <w:t>ali</w:t>
        </w:r>
        <w:proofErr w:type="spellEnd"/>
        <w:r w:rsidR="001C13A0" w:rsidRPr="00C75EDD">
          <w:rPr>
            <w:rStyle w:val="Hyperlink"/>
            <w:lang w:val="sr-Cyrl-RS"/>
          </w:rPr>
          <w:t>-</w:t>
        </w:r>
        <w:r w:rsidR="001C13A0" w:rsidRPr="00C75EDD">
          <w:rPr>
            <w:rStyle w:val="Hyperlink"/>
          </w:rPr>
          <w:t>ne</w:t>
        </w:r>
        <w:r w:rsidR="001C13A0" w:rsidRPr="00C75EDD">
          <w:rPr>
            <w:rStyle w:val="Hyperlink"/>
            <w:lang w:val="sr-Cyrl-RS"/>
          </w:rPr>
          <w:t>-</w:t>
        </w:r>
        <w:proofErr w:type="spellStart"/>
        <w:r w:rsidR="001C13A0" w:rsidRPr="00C75EDD">
          <w:rPr>
            <w:rStyle w:val="Hyperlink"/>
          </w:rPr>
          <w:t>duze</w:t>
        </w:r>
        <w:proofErr w:type="spellEnd"/>
        <w:r w:rsidR="001C13A0" w:rsidRPr="00C75EDD">
          <w:rPr>
            <w:rStyle w:val="Hyperlink"/>
            <w:lang w:val="sr-Cyrl-RS"/>
          </w:rPr>
          <w:t>-</w:t>
        </w:r>
        <w:r w:rsidR="001C13A0" w:rsidRPr="00C75EDD">
          <w:rPr>
            <w:rStyle w:val="Hyperlink"/>
          </w:rPr>
          <w:t>od</w:t>
        </w:r>
        <w:r w:rsidR="001C13A0" w:rsidRPr="00C75EDD">
          <w:rPr>
            <w:rStyle w:val="Hyperlink"/>
            <w:lang w:val="sr-Cyrl-RS"/>
          </w:rPr>
          <w:t>-</w:t>
        </w:r>
        <w:r w:rsidR="001C13A0" w:rsidRPr="00C75EDD">
          <w:rPr>
            <w:rStyle w:val="Hyperlink"/>
          </w:rPr>
          <w:t>tri</w:t>
        </w:r>
        <w:r w:rsidR="001C13A0" w:rsidRPr="00C75EDD">
          <w:rPr>
            <w:rStyle w:val="Hyperlink"/>
            <w:lang w:val="sr-Cyrl-RS"/>
          </w:rPr>
          <w:t>-</w:t>
        </w:r>
        <w:proofErr w:type="spellStart"/>
        <w:r w:rsidR="001C13A0" w:rsidRPr="00C75EDD">
          <w:rPr>
            <w:rStyle w:val="Hyperlink"/>
          </w:rPr>
          <w:t>godine</w:t>
        </w:r>
        <w:proofErr w:type="spellEnd"/>
        <w:r w:rsidR="001C13A0" w:rsidRPr="00C75EDD">
          <w:rPr>
            <w:rStyle w:val="Hyperlink"/>
            <w:lang w:val="sr-Cyrl-RS"/>
          </w:rPr>
          <w:t>/</w:t>
        </w:r>
      </w:hyperlink>
      <w:r w:rsidRPr="0019492F">
        <w:rPr>
          <w:lang w:val="sr-Cyrl-RS"/>
        </w:rPr>
        <w:t xml:space="preserve">  </w:t>
      </w:r>
    </w:p>
  </w:footnote>
  <w:footnote w:id="18">
    <w:p w14:paraId="001DBA31" w14:textId="6EA05799" w:rsidR="001C13A0" w:rsidRDefault="001C13A0">
      <w:pPr>
        <w:pStyle w:val="FootnoteText"/>
      </w:pPr>
      <w:r>
        <w:rPr>
          <w:rStyle w:val="FootnoteReference"/>
        </w:rPr>
        <w:footnoteRef/>
      </w:r>
      <w:r>
        <w:t xml:space="preserve"> </w:t>
      </w:r>
      <w:hyperlink r:id="rId18" w:history="1">
        <w:r w:rsidRPr="00C75EDD">
          <w:rPr>
            <w:rStyle w:val="Hyperlink"/>
          </w:rPr>
          <w:t>https://vst.jt.rs/1206-2/</w:t>
        </w:r>
      </w:hyperlink>
      <w:r>
        <w:t xml:space="preserve"> </w:t>
      </w:r>
    </w:p>
  </w:footnote>
  <w:footnote w:id="19">
    <w:p w14:paraId="7642EA6D" w14:textId="38CCB5C7" w:rsidR="007110FD" w:rsidRDefault="007110FD">
      <w:pPr>
        <w:pStyle w:val="FootnoteText"/>
      </w:pPr>
      <w:r>
        <w:rPr>
          <w:rStyle w:val="FootnoteReference"/>
        </w:rPr>
        <w:footnoteRef/>
      </w:r>
      <w:r>
        <w:t xml:space="preserve"> </w:t>
      </w:r>
      <w:hyperlink r:id="rId19" w:history="1">
        <w:r w:rsidRPr="00C75EDD">
          <w:rPr>
            <w:rStyle w:val="Hyperlink"/>
          </w:rPr>
          <w:t>https://vst.jt.rs/wp-content/uploads/2024/12/Javni-konkurs-za-izbor-javnih-tuzilaca-sajt-1.pdf</w:t>
        </w:r>
      </w:hyperlink>
      <w:r>
        <w:t xml:space="preserve"> </w:t>
      </w:r>
    </w:p>
  </w:footnote>
  <w:footnote w:id="20">
    <w:p w14:paraId="7266EF2B" w14:textId="25C67353" w:rsidR="006B5CB7" w:rsidRDefault="006B5CB7">
      <w:pPr>
        <w:pStyle w:val="FootnoteText"/>
      </w:pPr>
      <w:r>
        <w:rPr>
          <w:rStyle w:val="FootnoteReference"/>
        </w:rPr>
        <w:footnoteRef/>
      </w:r>
      <w:r>
        <w:t xml:space="preserve"> </w:t>
      </w:r>
      <w:hyperlink r:id="rId20" w:history="1">
        <w:r w:rsidRPr="00C75EDD">
          <w:rPr>
            <w:rStyle w:val="Hyperlink"/>
          </w:rPr>
          <w:t>www.parlament.gov.rs/upload/archive/files/cir/pdf/zakoni/14_saziv/2731-25.pdf</w:t>
        </w:r>
      </w:hyperlink>
      <w:r>
        <w:t xml:space="preserve"> </w:t>
      </w:r>
    </w:p>
  </w:footnote>
  <w:footnote w:id="21">
    <w:p w14:paraId="2C4059D6" w14:textId="46FD04F9" w:rsidR="006B5CB7" w:rsidRDefault="006B5CB7">
      <w:pPr>
        <w:pStyle w:val="FootnoteText"/>
      </w:pPr>
      <w:r>
        <w:rPr>
          <w:rStyle w:val="FootnoteReference"/>
        </w:rPr>
        <w:footnoteRef/>
      </w:r>
      <w:r>
        <w:t xml:space="preserve"> </w:t>
      </w:r>
      <w:hyperlink r:id="rId21" w:history="1">
        <w:r w:rsidRPr="00C75EDD">
          <w:rPr>
            <w:rStyle w:val="Hyperlink"/>
          </w:rPr>
          <w:t>https://n1info.rs/vesti/rasprava-mrdicevi-zakoni-pravosudje-brnabic/</w:t>
        </w:r>
      </w:hyperlink>
      <w:r>
        <w:t xml:space="preserve"> </w:t>
      </w:r>
    </w:p>
  </w:footnote>
  <w:footnote w:id="22">
    <w:p w14:paraId="730CDC92" w14:textId="186919F4" w:rsidR="006B5CB7" w:rsidRDefault="006B5CB7">
      <w:pPr>
        <w:pStyle w:val="FootnoteText"/>
      </w:pPr>
      <w:r>
        <w:rPr>
          <w:rStyle w:val="FootnoteReference"/>
        </w:rPr>
        <w:footnoteRef/>
      </w:r>
      <w:r>
        <w:t xml:space="preserve"> </w:t>
      </w:r>
      <w:hyperlink r:id="rId22" w:history="1">
        <w:r w:rsidRPr="00C75EDD">
          <w:rPr>
            <w:rStyle w:val="Hyperlink"/>
          </w:rPr>
          <w:t>https://www.danas.rs/vesti/politika/zvanicnik-eu-mrdicevi-zakoni-nisu-u-skladu-sa-pristupnim-putem-srbije-eu-odloziti-njihovu-primenu/</w:t>
        </w:r>
      </w:hyperlink>
    </w:p>
    <w:p w14:paraId="75DE3CFD" w14:textId="77777777" w:rsidR="006B5CB7" w:rsidRDefault="006B5CB7">
      <w:pPr>
        <w:pStyle w:val="FootnoteText"/>
      </w:pPr>
    </w:p>
  </w:footnote>
  <w:footnote w:id="23">
    <w:p w14:paraId="37CBC5C2" w14:textId="2BFAA4F4" w:rsidR="006B5CB7" w:rsidRDefault="006B5CB7">
      <w:pPr>
        <w:pStyle w:val="FootnoteText"/>
      </w:pPr>
      <w:r>
        <w:rPr>
          <w:rStyle w:val="FootnoteReference"/>
        </w:rPr>
        <w:footnoteRef/>
      </w:r>
      <w:r>
        <w:rPr>
          <w:rStyle w:val="FootnoteReference"/>
        </w:rPr>
        <w:footnoteRef/>
      </w:r>
      <w:r>
        <w:t xml:space="preserve"> </w:t>
      </w:r>
      <w:hyperlink r:id="rId23" w:history="1">
        <w:r w:rsidRPr="00C75EDD">
          <w:rPr>
            <w:rStyle w:val="Hyperlink"/>
          </w:rPr>
          <w:t>https://radar.nova.rs/politika/venecijanska-komisija-u-beogradu/</w:t>
        </w:r>
      </w:hyperlink>
      <w:r>
        <w:t xml:space="preserve"> </w:t>
      </w:r>
    </w:p>
  </w:footnote>
  <w:footnote w:id="24">
    <w:p w14:paraId="5F327661" w14:textId="062207A8" w:rsidR="006B5CB7" w:rsidRDefault="006B5CB7">
      <w:pPr>
        <w:pStyle w:val="FootnoteText"/>
      </w:pPr>
      <w:r>
        <w:rPr>
          <w:rStyle w:val="FootnoteReference"/>
        </w:rPr>
        <w:footnoteRef/>
      </w:r>
      <w:r>
        <w:t xml:space="preserve"> </w:t>
      </w:r>
      <w:hyperlink r:id="rId24" w:history="1">
        <w:r w:rsidRPr="00C75EDD">
          <w:rPr>
            <w:rStyle w:val="Hyperlink"/>
          </w:rPr>
          <w:t>https://www.transparentnost.org.rs/en/ts-and-media/press-isues/13005-harmful-consequences-of-changes-in-judicial-regulations-on-the-fight-against-corruption</w:t>
        </w:r>
      </w:hyperlink>
      <w:r>
        <w:t xml:space="preserve"> </w:t>
      </w:r>
    </w:p>
  </w:footnote>
  <w:footnote w:id="25">
    <w:p w14:paraId="689EF107" w14:textId="34A9D2B5" w:rsidR="007823B2" w:rsidRDefault="007823B2">
      <w:pPr>
        <w:pStyle w:val="FootnoteText"/>
      </w:pPr>
      <w:r>
        <w:rPr>
          <w:rStyle w:val="FootnoteReference"/>
        </w:rPr>
        <w:footnoteRef/>
      </w:r>
      <w:r>
        <w:t xml:space="preserve"> Documents obtained from an MP, not published on parliamentary web-page.</w:t>
      </w:r>
    </w:p>
  </w:footnote>
  <w:footnote w:id="26">
    <w:p w14:paraId="4B477AB2" w14:textId="77322817" w:rsidR="007823B2" w:rsidRDefault="007823B2">
      <w:pPr>
        <w:pStyle w:val="FootnoteText"/>
      </w:pPr>
      <w:r>
        <w:rPr>
          <w:rStyle w:val="FootnoteReference"/>
        </w:rPr>
        <w:footnoteRef/>
      </w:r>
      <w:r>
        <w:t xml:space="preserve"> Ibid.</w:t>
      </w:r>
    </w:p>
  </w:footnote>
  <w:footnote w:id="27">
    <w:p w14:paraId="7E02DCF9" w14:textId="05CEF10E" w:rsidR="005C452F" w:rsidRDefault="005C452F">
      <w:pPr>
        <w:pStyle w:val="FootnoteText"/>
      </w:pPr>
      <w:r>
        <w:rPr>
          <w:rStyle w:val="FootnoteReference"/>
        </w:rPr>
        <w:footnoteRef/>
      </w:r>
      <w:r>
        <w:t xml:space="preserve"> </w:t>
      </w:r>
      <w:hyperlink r:id="rId25" w:history="1">
        <w:r w:rsidRPr="00C75EDD">
          <w:rPr>
            <w:rStyle w:val="Hyperlink"/>
          </w:rPr>
          <w:t>https://www.youtube.com/watch?v=eC4g3tR-yC8</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422146"/>
    <w:multiLevelType w:val="multilevel"/>
    <w:tmpl w:val="6B82E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CE55FC"/>
    <w:multiLevelType w:val="hybridMultilevel"/>
    <w:tmpl w:val="2856B106"/>
    <w:lvl w:ilvl="0" w:tplc="CF78BA56">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3A635D"/>
    <w:multiLevelType w:val="multilevel"/>
    <w:tmpl w:val="4CF85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9074005">
    <w:abstractNumId w:val="0"/>
  </w:num>
  <w:num w:numId="2" w16cid:durableId="1811746263">
    <w:abstractNumId w:val="2"/>
  </w:num>
  <w:num w:numId="3" w16cid:durableId="732585498">
    <w:abstractNumId w:val="3"/>
  </w:num>
  <w:num w:numId="4" w16cid:durableId="942108103">
    <w:abstractNumId w:val="4"/>
  </w:num>
  <w:num w:numId="5" w16cid:durableId="1115296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6E5"/>
    <w:rsid w:val="000717F5"/>
    <w:rsid w:val="000B16E5"/>
    <w:rsid w:val="0019492F"/>
    <w:rsid w:val="001C13A0"/>
    <w:rsid w:val="00216CBF"/>
    <w:rsid w:val="002E2DFB"/>
    <w:rsid w:val="003317EB"/>
    <w:rsid w:val="004239EC"/>
    <w:rsid w:val="004332F5"/>
    <w:rsid w:val="00470C40"/>
    <w:rsid w:val="004A6D6E"/>
    <w:rsid w:val="004A7397"/>
    <w:rsid w:val="00541FF4"/>
    <w:rsid w:val="00577894"/>
    <w:rsid w:val="005C452F"/>
    <w:rsid w:val="00617B34"/>
    <w:rsid w:val="006B5CB7"/>
    <w:rsid w:val="006F46FD"/>
    <w:rsid w:val="007110FD"/>
    <w:rsid w:val="007665AF"/>
    <w:rsid w:val="007823B2"/>
    <w:rsid w:val="00A52461"/>
    <w:rsid w:val="00A5567D"/>
    <w:rsid w:val="00A604C5"/>
    <w:rsid w:val="00AE5B06"/>
    <w:rsid w:val="00B17376"/>
    <w:rsid w:val="00B57CB0"/>
    <w:rsid w:val="00B6649F"/>
    <w:rsid w:val="00C30A4B"/>
    <w:rsid w:val="00C90450"/>
    <w:rsid w:val="00D66A5C"/>
    <w:rsid w:val="00D97183"/>
    <w:rsid w:val="00DD1510"/>
    <w:rsid w:val="00E25A3C"/>
    <w:rsid w:val="00E33B11"/>
    <w:rsid w:val="00E37F94"/>
    <w:rsid w:val="00E801E3"/>
    <w:rsid w:val="00FB11D0"/>
    <w:rsid w:val="00FD6097"/>
    <w:rsid w:val="00FE32A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0B688"/>
  <w15:chartTrackingRefBased/>
  <w15:docId w15:val="{E988BA3F-7508-4DF7-9709-047E519B4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16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B16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B16E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B16E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B16E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B16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16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16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16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16E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B16E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B16E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B16E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B16E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B16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16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16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16E5"/>
    <w:rPr>
      <w:rFonts w:eastAsiaTheme="majorEastAsia" w:cstheme="majorBidi"/>
      <w:color w:val="272727" w:themeColor="text1" w:themeTint="D8"/>
    </w:rPr>
  </w:style>
  <w:style w:type="paragraph" w:styleId="Title">
    <w:name w:val="Title"/>
    <w:basedOn w:val="Normal"/>
    <w:next w:val="Normal"/>
    <w:link w:val="TitleChar"/>
    <w:uiPriority w:val="10"/>
    <w:qFormat/>
    <w:rsid w:val="000B16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16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16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16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16E5"/>
    <w:pPr>
      <w:spacing w:before="160"/>
      <w:jc w:val="center"/>
    </w:pPr>
    <w:rPr>
      <w:i/>
      <w:iCs/>
      <w:color w:val="404040" w:themeColor="text1" w:themeTint="BF"/>
    </w:rPr>
  </w:style>
  <w:style w:type="character" w:customStyle="1" w:styleId="QuoteChar">
    <w:name w:val="Quote Char"/>
    <w:basedOn w:val="DefaultParagraphFont"/>
    <w:link w:val="Quote"/>
    <w:uiPriority w:val="29"/>
    <w:rsid w:val="000B16E5"/>
    <w:rPr>
      <w:i/>
      <w:iCs/>
      <w:color w:val="404040" w:themeColor="text1" w:themeTint="BF"/>
    </w:rPr>
  </w:style>
  <w:style w:type="paragraph" w:styleId="ListParagraph">
    <w:name w:val="List Paragraph"/>
    <w:basedOn w:val="Normal"/>
    <w:uiPriority w:val="34"/>
    <w:qFormat/>
    <w:rsid w:val="000B16E5"/>
    <w:pPr>
      <w:ind w:left="720"/>
      <w:contextualSpacing/>
    </w:pPr>
  </w:style>
  <w:style w:type="character" w:styleId="IntenseEmphasis">
    <w:name w:val="Intense Emphasis"/>
    <w:basedOn w:val="DefaultParagraphFont"/>
    <w:uiPriority w:val="21"/>
    <w:qFormat/>
    <w:rsid w:val="000B16E5"/>
    <w:rPr>
      <w:i/>
      <w:iCs/>
      <w:color w:val="2F5496" w:themeColor="accent1" w:themeShade="BF"/>
    </w:rPr>
  </w:style>
  <w:style w:type="paragraph" w:styleId="IntenseQuote">
    <w:name w:val="Intense Quote"/>
    <w:basedOn w:val="Normal"/>
    <w:next w:val="Normal"/>
    <w:link w:val="IntenseQuoteChar"/>
    <w:uiPriority w:val="30"/>
    <w:qFormat/>
    <w:rsid w:val="000B16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B16E5"/>
    <w:rPr>
      <w:i/>
      <w:iCs/>
      <w:color w:val="2F5496" w:themeColor="accent1" w:themeShade="BF"/>
    </w:rPr>
  </w:style>
  <w:style w:type="character" w:styleId="IntenseReference">
    <w:name w:val="Intense Reference"/>
    <w:basedOn w:val="DefaultParagraphFont"/>
    <w:uiPriority w:val="32"/>
    <w:qFormat/>
    <w:rsid w:val="000B16E5"/>
    <w:rPr>
      <w:b/>
      <w:bCs/>
      <w:smallCaps/>
      <w:color w:val="2F5496" w:themeColor="accent1" w:themeShade="BF"/>
      <w:spacing w:val="5"/>
    </w:rPr>
  </w:style>
  <w:style w:type="table" w:styleId="GridTable1Light">
    <w:name w:val="Grid Table 1 Light"/>
    <w:basedOn w:val="TableNormal"/>
    <w:uiPriority w:val="46"/>
    <w:rsid w:val="000B16E5"/>
    <w:pPr>
      <w:spacing w:after="0" w:line="240" w:lineRule="auto"/>
    </w:pPr>
    <w:rPr>
      <w:sz w:val="24"/>
      <w:szCs w:val="24"/>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0B16E5"/>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0B16E5"/>
    <w:rPr>
      <w:sz w:val="20"/>
      <w:szCs w:val="20"/>
      <w:lang w:val="en-US"/>
    </w:rPr>
  </w:style>
  <w:style w:type="character" w:styleId="FootnoteReference">
    <w:name w:val="footnote reference"/>
    <w:basedOn w:val="DefaultParagraphFont"/>
    <w:uiPriority w:val="99"/>
    <w:semiHidden/>
    <w:unhideWhenUsed/>
    <w:rsid w:val="000B16E5"/>
    <w:rPr>
      <w:vertAlign w:val="superscript"/>
    </w:rPr>
  </w:style>
  <w:style w:type="character" w:styleId="Hyperlink">
    <w:name w:val="Hyperlink"/>
    <w:basedOn w:val="DefaultParagraphFont"/>
    <w:uiPriority w:val="99"/>
    <w:unhideWhenUsed/>
    <w:rsid w:val="006F46FD"/>
    <w:rPr>
      <w:color w:val="0563C1" w:themeColor="hyperlink"/>
      <w:u w:val="single"/>
    </w:rPr>
  </w:style>
  <w:style w:type="character" w:styleId="UnresolvedMention">
    <w:name w:val="Unresolved Mention"/>
    <w:basedOn w:val="DefaultParagraphFont"/>
    <w:uiPriority w:val="99"/>
    <w:semiHidden/>
    <w:unhideWhenUsed/>
    <w:rsid w:val="006F46FD"/>
    <w:rPr>
      <w:color w:val="605E5C"/>
      <w:shd w:val="clear" w:color="auto" w:fill="E1DFDD"/>
    </w:rPr>
  </w:style>
  <w:style w:type="paragraph" w:styleId="NormalWeb">
    <w:name w:val="Normal (Web)"/>
    <w:basedOn w:val="Normal"/>
    <w:uiPriority w:val="99"/>
    <w:semiHidden/>
    <w:unhideWhenUsed/>
    <w:rsid w:val="003317E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www.kv.vi.sud.rs/files/Su%20I%202-36-24.pdf" TargetMode="External"/><Relationship Id="rId13" Type="http://schemas.openxmlformats.org/officeDocument/2006/relationships/hyperlink" Target="https://informator.poverenik.rs/informator?org=vNWkyhfW9Fe8SNxX8&amp;ch=B7e85r4rMtMRMyzb7&amp;code=" TargetMode="External"/><Relationship Id="rId18" Type="http://schemas.openxmlformats.org/officeDocument/2006/relationships/hyperlink" Target="https://vst.jt.rs/1206-2/" TargetMode="External"/><Relationship Id="rId3" Type="http://schemas.openxmlformats.org/officeDocument/2006/relationships/hyperlink" Target="https://www.bg.ap.sud.rs/files/IZMENE%20GODI&#352;NJEG%20RASPOREDA%2025.6.%202025..pdf" TargetMode="External"/><Relationship Id="rId21" Type="http://schemas.openxmlformats.org/officeDocument/2006/relationships/hyperlink" Target="https://n1info.rs/vesti/rasprava-mrdicevi-zakoni-pravosudje-brnabic/" TargetMode="External"/><Relationship Id="rId7" Type="http://schemas.openxmlformats.org/officeDocument/2006/relationships/hyperlink" Target="https://www.kv.vi.sud.rs/files/Godisnji2025.pdf" TargetMode="External"/><Relationship Id="rId12" Type="http://schemas.openxmlformats.org/officeDocument/2006/relationships/hyperlink" Target="https://tok.jt.rs/html_tok/pocetna/informator_cir.pdf" TargetMode="External"/><Relationship Id="rId17" Type="http://schemas.openxmlformats.org/officeDocument/2006/relationships/hyperlink" Target="https://n1info.rs/vesti/osveta-vlasti-tuziocima-za-organizovani-kriminal-ireni-bjelos-i-aleksandru-isailovicu-odlaze-iz-tok-a-vecina-upucenih-tuzilaca-ostaje-ali-ne-duze-od-tri-godine/" TargetMode="External"/><Relationship Id="rId25" Type="http://schemas.openxmlformats.org/officeDocument/2006/relationships/hyperlink" Target="https://www.youtube.com/watch?v=eC4g3tR-yC8" TargetMode="External"/><Relationship Id="rId2" Type="http://schemas.openxmlformats.org/officeDocument/2006/relationships/hyperlink" Target="https://www.bg.ap.sud.rs/files/GODISNJI%20RASPORED%20ZA%202025.%2028.10.2024..pdf" TargetMode="External"/><Relationship Id="rId16" Type="http://schemas.openxmlformats.org/officeDocument/2006/relationships/hyperlink" Target="https://informator.poverenik.rs/informator?org=337oQ4Ggkj3ntbrjY&amp;ch=B7e85r4rMtMRMyzb7&amp;code=" TargetMode="External"/><Relationship Id="rId20" Type="http://schemas.openxmlformats.org/officeDocument/2006/relationships/hyperlink" Target="http://www.parlament.gov.rs/upload/archive/files/cir/pdf/zakoni/14_saziv/2731-25.pdf" TargetMode="External"/><Relationship Id="rId1" Type="http://schemas.openxmlformats.org/officeDocument/2006/relationships/hyperlink" Target="https://bg.ap.sud.rs/files/GODI&#352;NJI%20RASPORED%202026..pdf" TargetMode="External"/><Relationship Id="rId6" Type="http://schemas.openxmlformats.org/officeDocument/2006/relationships/hyperlink" Target="https://www.ni.vi.sud.rs/files/GODISNJI%20RASPORED%202026%201.pdf" TargetMode="External"/><Relationship Id="rId11" Type="http://schemas.openxmlformats.org/officeDocument/2006/relationships/hyperlink" Target="http://www.vrhovnojt.gov.rs/ci/%D0%98%D0%BD%D1%84%D0%BE%D1%80%D0%BC%D0%B0%D1%86%D0%B8%D1%98%D0%B5-%D0%BE-%D1%80%D0%B0%D0%B4%D1%83/%D0%93%D0%BE%D0%B4%D0%B8%D1%88%D1%9A%D0%B8-%D0%B8%D0%B7%D0%B2%D0%B5%D1%88%D1%82%D0%B0%D1%98-%D0%BE-%D1%80%D0%B0%D0%B4%D1%83-%D1%98%D0%B0%D0%B2%D0%BD%D0%B8%D1%85-%D1%82%D1%83%D0%B6%D0%B8%D0%BB%D0%B0%D1%88%D1%82%D0%B0%D0%B2%D0%B0" TargetMode="External"/><Relationship Id="rId24" Type="http://schemas.openxmlformats.org/officeDocument/2006/relationships/hyperlink" Target="https://www.transparentnost.org.rs/en/ts-and-media/press-isues/13005-harmful-consequences-of-changes-in-judicial-regulations-on-the-fight-against-corruption" TargetMode="External"/><Relationship Id="rId5" Type="http://schemas.openxmlformats.org/officeDocument/2006/relationships/hyperlink" Target="https://www.ns.vi.sud.rs/files/Godi&#353;nji%20raspored%20poslova%20za%202026.%20godinu.pdf" TargetMode="External"/><Relationship Id="rId15" Type="http://schemas.openxmlformats.org/officeDocument/2006/relationships/hyperlink" Target="https://informator.poverenik.rs/informator?org=scgREq2vFPDmqWqzP&amp;ch=B7e85r4rMtMRMyzb7&amp;code=" TargetMode="External"/><Relationship Id="rId23" Type="http://schemas.openxmlformats.org/officeDocument/2006/relationships/hyperlink" Target="https://radar.nova.rs/politika/venecijanska-komisija-u-beogradu/" TargetMode="External"/><Relationship Id="rId10" Type="http://schemas.openxmlformats.org/officeDocument/2006/relationships/hyperlink" Target="https://vst.jt.rs/1206-2/" TargetMode="External"/><Relationship Id="rId19" Type="http://schemas.openxmlformats.org/officeDocument/2006/relationships/hyperlink" Target="https://vst.jt.rs/wp-content/uploads/2024/12/Javni-konkurs-za-izbor-javnih-tuzilaca-sajt-1.pdf" TargetMode="External"/><Relationship Id="rId4" Type="http://schemas.openxmlformats.org/officeDocument/2006/relationships/hyperlink" Target="https://www.bg.vi.sud.rs/tekst/320/sudije.php" TargetMode="External"/><Relationship Id="rId9" Type="http://schemas.openxmlformats.org/officeDocument/2006/relationships/hyperlink" Target="https://vst.jt.rs/wp-content/uploads/2024/09/Odluka-o-broju-javnih-tuzilaca-u-javnim-tuzilastvima.pdf" TargetMode="External"/><Relationship Id="rId14" Type="http://schemas.openxmlformats.org/officeDocument/2006/relationships/hyperlink" Target="https://informator.poverenik.rs/informator?org=TEKpsq2CscruX7kRu&amp;ch=B7e85r4rMtMRMyzb7&amp;code=" TargetMode="External"/><Relationship Id="rId22" Type="http://schemas.openxmlformats.org/officeDocument/2006/relationships/hyperlink" Target="https://www.danas.rs/vesti/politika/zvanicnik-eu-mrdicevi-zakoni-nisu-u-skladu-sa-pristupnim-putem-srbije-eu-odloziti-njihovu-primen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2383</TotalTime>
  <Pages>7</Pages>
  <Words>2399</Words>
  <Characters>13149</Characters>
  <Application>Microsoft Office Word</Application>
  <DocSecurity>0</DocSecurity>
  <Lines>305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Misa</dc:creator>
  <cp:keywords/>
  <dc:description/>
  <cp:lastModifiedBy>Milena Mihajlovic Denic</cp:lastModifiedBy>
  <cp:revision>6</cp:revision>
  <dcterms:created xsi:type="dcterms:W3CDTF">2026-03-06T12:05:00Z</dcterms:created>
  <dcterms:modified xsi:type="dcterms:W3CDTF">2026-04-24T18:57:00Z</dcterms:modified>
</cp:coreProperties>
</file>